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p>
      <w:pPr>
        <w:pStyle w:val="0"/>
        <w:rPr>
          <w:sz w:val="28"/>
          <w:b w:val="1"/>
        </w:rPr>
      </w:pPr>
      <w:r>
        <w:rPr>
          <w:sz w:val="28"/>
          <w:b w:val="1"/>
        </w:rPr>
        <w:t xml:space="preserve">                          </w:t>
      </w:r>
    </w:p>
    <w:p>
      <w:pPr>
        <w:jc w:val="center"/>
        <w:pStyle w:val="0"/>
        <w:rPr>
          <w:sz w:val="28"/>
          <w:b w:val="1"/>
        </w:rPr>
      </w:pPr>
      <w:r>
        <w:rPr>
          <w:sz w:val="28"/>
          <w:b w:val="1"/>
        </w:rPr>
        <w:t xml:space="preserve"> </w:t>
      </w:r>
    </w:p>
    <w:p>
      <w:pPr>
        <w:jc w:val="center"/>
        <w:pStyle w:val="16"/>
        <w:spacing w:before="0" w:after="0"/>
        <w:rPr>
          <w:sz w:val="28"/>
          <w:b w:val="1"/>
        </w:rPr>
      </w:pPr>
      <w:r>
        <w:rPr>
          <w:sz w:val="28"/>
          <w:b w:val="1"/>
        </w:rPr>
        <w:t xml:space="preserve">ПРОЕКТНО-ИССЛЕДОВАТЕЛЬСКАЯ ДЕЯТЕЛЬНОСТЬ КАК ОДНА ИЗ ФОРМ ОРГАНИЗАЦИИ ВНЕУРОЧНОЙ ДЕЯТЕЛЬНОСТИ  В УСЛОВИЯХ ПЕРЕХОДА К ФГОС ООО</w:t>
      </w:r>
      <w:r>
        <w:rPr>
          <w:sz w:val="28"/>
          <w:b w:val="1"/>
        </w:rPr>
        <w:t>.</w:t>
      </w:r>
    </w:p>
    <w:p>
      <w:pPr>
        <w:jc w:val="center"/>
        <w:ind w:firstLine="720"/>
        <w:pStyle w:val="16"/>
        <w:spacing w:before="0" w:after="0"/>
        <w:rPr>
          <w:sz w:val="28"/>
          <w:i w:val="1"/>
        </w:rPr>
      </w:pPr>
      <w:r>
        <w:rPr>
          <w:sz w:val="28"/>
          <w:i w:val="1"/>
        </w:rPr>
        <w:t xml:space="preserve">                                                                        Полякова М.В.,</w:t>
      </w:r>
    </w:p>
    <w:p>
      <w:pPr>
        <w:jc w:val="right"/>
        <w:ind w:firstLine="720"/>
        <w:pStyle w:val="16"/>
        <w:spacing w:before="0" w:after="0"/>
        <w:rPr>
          <w:sz w:val="28"/>
          <w:i w:val="1"/>
        </w:rPr>
      </w:pPr>
      <w:r>
        <w:rPr>
          <w:sz w:val="28"/>
          <w:i w:val="1"/>
        </w:rPr>
        <w:t xml:space="preserve">учитель русского языка и литературы МОУ «СОШ №95 с УИОП» г. Саратова</w:t>
      </w:r>
    </w:p>
    <w:p>
      <w:pPr>
        <w:jc w:val="right"/>
        <w:ind w:firstLine="720"/>
        <w:pStyle w:val="16"/>
        <w:spacing w:before="0" w:after="0"/>
        <w:rPr>
          <w:sz w:val="28"/>
          <w:i w:val="1"/>
        </w:rPr>
      </w:pPr>
      <w:r>
        <w:rPr>
          <w:sz w:val="28"/>
          <w:i w:val="1"/>
        </w:rPr>
        <w:t xml:space="preserve">Саратовской области</w:t>
      </w:r>
    </w:p>
    <w:p>
      <w:pPr>
        <w:jc w:val="both"/>
        <w:pStyle w:val="0"/>
        <w:rPr>
          <w:sz w:val="28"/>
        </w:rPr>
      </w:pPr>
      <w:r>
        <w:rPr>
          <w:sz w:val="28"/>
        </w:rPr>
        <w:t xml:space="preserve">          Современное развитие общества, экономики, образования вызывает необходимость разработки механизмов формирования человека XXI века – личности, способной к анализу существующей ситуации, активно участвующей в социокультурной деятельности, самостоятельно и ответственно принимающей решения в постоянно меняющихся условиях.</w:t>
      </w:r>
    </w:p>
    <w:p>
      <w:pPr>
        <w:jc w:val="both"/>
        <w:pStyle w:val="16"/>
        <w:spacing w:before="0" w:after="0"/>
        <w:rPr>
          <w:sz w:val="28"/>
        </w:rPr>
      </w:pPr>
      <w:r>
        <w:rPr>
          <w:sz w:val="28"/>
        </w:rPr>
        <w:t xml:space="preserve">       В этом плане</w:t>
      </w:r>
      <w:r>
        <w:rPr>
          <w:sz w:val="28"/>
          <w:i w:val="1"/>
        </w:rPr>
        <w:t xml:space="preserve">  </w:t>
      </w:r>
      <w:r>
        <w:rPr>
          <w:sz w:val="28"/>
        </w:rPr>
        <w:t xml:space="preserve">исследовательская и проектная деятельность учащихся является инновационной  образовательной технологией и служит средством комплексного решения задач воспитания, образования, развития личности в современном социуме. </w:t>
      </w:r>
    </w:p>
    <w:p>
      <w:pPr>
        <w:jc w:val="both"/>
        <w:pStyle w:val="16"/>
        <w:spacing w:before="0" w:after="0"/>
        <w:rPr>
          <w:sz w:val="28"/>
        </w:rPr>
      </w:pPr>
      <w:r>
        <w:rPr>
          <w:sz w:val="28"/>
        </w:rPr>
        <w:t xml:space="preserve">             Педагогический коллектив нашей школы активно использует преимущества </w:t>
      </w:r>
      <w:r>
        <w:rPr>
          <w:sz w:val="28"/>
          <w:i w:val="1"/>
        </w:rPr>
        <w:t xml:space="preserve">проектной деятельности</w:t>
      </w:r>
      <w:r>
        <w:rPr>
          <w:sz w:val="28"/>
        </w:rPr>
        <w:t xml:space="preserve"> как одной из форм организации внеурочной деятельности в условиях перехода к стандартам нового поколения.</w:t>
      </w:r>
    </w:p>
    <w:p>
      <w:pPr>
        <w:jc w:val="both"/>
        <w:ind w:firstLine="720"/>
        <w:pStyle w:val="16"/>
        <w:spacing w:before="0" w:after="0"/>
        <w:rPr>
          <w:sz w:val="28"/>
        </w:rPr>
      </w:pPr>
      <w:r>
        <w:rPr>
          <w:sz w:val="28"/>
        </w:rPr>
        <w:t xml:space="preserve">Проектная деятельность</w:t>
      </w:r>
      <w:r>
        <w:rPr>
          <w:sz w:val="28"/>
          <w:i w:val="1"/>
        </w:rPr>
        <w:t xml:space="preserve"> во внеурочной деятельности</w:t>
      </w:r>
      <w:r>
        <w:rPr>
          <w:sz w:val="28"/>
        </w:rPr>
        <w:t xml:space="preserve">  используется педагогами как начальной школы, так и среднего звена, но  особенно широко она представлена в  предпрофильной и профильной школе. Учебное проектирование учащиеся осваивают и на уроках русского языка и литературы. Результат выполненных проектов : изготовление плакатов, написание репортажей, эссе, исследований.</w:t>
      </w:r>
    </w:p>
    <w:p>
      <w:pPr>
        <w:jc w:val="both"/>
        <w:ind w:firstLine="720"/>
        <w:pStyle w:val="16"/>
        <w:spacing w:before="0" w:after="0"/>
        <w:rPr>
          <w:sz w:val="28"/>
        </w:rPr>
      </w:pPr>
      <w:r>
        <w:rPr>
          <w:sz w:val="28"/>
        </w:rPr>
        <w:t xml:space="preserve">Проектное обучение создает положительную мотивацию для самообразо​вания. Поиск нужных материалов требует систематической работы со справочной литературой. Выполняя проект, как показывают наши наблюдения, большинство учащихся об​ращаются не только к учебникам, но и к  другой учебно-методической литературе, к ресурсам сети Интернет.  Таким образом, включение проектной деятельности в учебный процесс  и внеурочную деятельность способствует повышению уровня компетентности учащегося в области решения проблем и коммуникаций. </w:t>
      </w:r>
    </w:p>
    <w:p>
      <w:pPr>
        <w:jc w:val="both"/>
        <w:ind w:firstLine="720"/>
        <w:pStyle w:val="16"/>
        <w:spacing w:before="0" w:after="0"/>
        <w:rPr>
          <w:sz w:val="28"/>
          <w:i w:val="1"/>
        </w:rPr>
      </w:pPr>
      <w:r>
        <w:rPr>
          <w:sz w:val="28"/>
        </w:rPr>
        <w:t xml:space="preserve">Наша школа имеет давние традиции патриотического воспитания, поэтому большое место в проектной деятельности учащихся мы уделяем </w:t>
      </w:r>
      <w:r>
        <w:rPr>
          <w:sz w:val="28"/>
          <w:i w:val="1"/>
        </w:rPr>
        <w:t xml:space="preserve">проектам военно – патриотической, краеведческой и поисковой направленности</w:t>
      </w:r>
      <w:r>
        <w:rPr>
          <w:sz w:val="28"/>
        </w:rPr>
        <w:t xml:space="preserve">. Данная работа осуществляется в рамках деятельности клуба «Память», функционирующим при школьном Музее. Члены клуба исследуют и с</w:t>
      </w:r>
      <w:r>
        <w:rPr>
          <w:sz w:val="28"/>
          <w:i w:val="1"/>
        </w:rPr>
        <w:t xml:space="preserve">обирают материал о подвигах земляков – участников военных событий. Их проекты направлены на охрану памятников истории родного города, а также на организацию просветительской и  культурно-массовой работы среди учащихся и жителей микрорайона. В Музее нашей школы  на основе материалов поисковой работы проводятся уроки Мужества и экскурсии (используются материалы исследовательских проектов «Его именем названа наша школа», «Петровчане в годы Великой Отечественной войны», «Учителя и выпускники нашей школы – защитники Отечества», «Их именами названы улицы города» и др.).</w:t>
      </w:r>
    </w:p>
    <w:p>
      <w:pPr>
        <w:jc w:val="both"/>
        <w:ind w:firstLine="720"/>
        <w:pStyle w:val="0"/>
        <w:rPr>
          <w:sz w:val="28"/>
          <w:color w:val="000000"/>
        </w:rPr>
      </w:pPr>
      <w:r>
        <w:rPr>
          <w:sz w:val="28"/>
          <w:color w:val="000000"/>
        </w:rPr>
        <w:t xml:space="preserve">Большими возможностями в осуществлении проектной деятельности располагает школьная детская организация «Бригантина». Проекты, реализуемые в рамках этого движения,  являются </w:t>
      </w:r>
      <w:r>
        <w:rPr>
          <w:sz w:val="28"/>
          <w:i w:val="1"/>
          <w:color w:val="000000"/>
        </w:rPr>
        <w:t xml:space="preserve">организационно – социальными проектами,</w:t>
      </w:r>
      <w:r>
        <w:rPr>
          <w:sz w:val="28"/>
          <w:color w:val="000000"/>
        </w:rPr>
        <w:t xml:space="preserve"> воспитывают гражданскую позицию школьников, формируют их лидерские качества. Коллективные проекты учащихся «Школа моей мечты»  и «Школа будущего» дали возможность проследить отношение школьников к современным проблемам школы, а также проявить активность и инициативу в осуществлении мечты об идеальной школе. </w:t>
      </w:r>
    </w:p>
    <w:p>
      <w:pPr>
        <w:jc w:val="both"/>
        <w:ind w:left="0" w:firstLine="720"/>
        <w:pStyle w:val="21"/>
        <w:spacing w:after="0"/>
        <w:rPr>
          <w:sz w:val="28"/>
        </w:rPr>
      </w:pPr>
      <w:r>
        <w:rPr>
          <w:sz w:val="28"/>
        </w:rPr>
        <w:t xml:space="preserve">Однако главным организационно-социальным проектом являются </w:t>
      </w:r>
      <w:r>
        <w:rPr>
          <w:sz w:val="28"/>
          <w:i w:val="1"/>
        </w:rPr>
        <w:t xml:space="preserve">научно-практические конференции учащихся, </w:t>
      </w:r>
      <w:r>
        <w:rPr>
          <w:sz w:val="28"/>
        </w:rPr>
        <w:t xml:space="preserve">  огромную работу по подготовке которых проводит «Научная лаборатория Петровского района», возглавляемая Сторожевой Т.Ю. В школе курирует работу Герасимова Т.В. Традиционными уже стали конференции, имеющие межрегиональный статус: «Мартыновские чтения», «Удивительный мир научных книг», «Удивительный термин».    Научно-практическая конференция – основная и ключевая форма  презентации  достижений учащихся  в исследовательской, проектной учебной и внеурочной деятельности, целью которой является выявление одаренных детей, поддержка творчества школьников, конкурсный смотр самого яркого и интересно​го, что сделано учащимися во всех видах научно-исследовательской, практической и творческой деятельности. Копилки лучших работ учащихся хранятся у преподавателей , и любой желающий может воспользоваться материалами для подготовки к уроку, написанию доклада или реферата, компьютерные презентации служат хорошим иллюстративным материалом для учителя на уроке.</w:t>
      </w:r>
    </w:p>
    <w:p>
      <w:pPr>
        <w:jc w:val="both"/>
        <w:ind w:left="0" w:firstLine="720"/>
        <w:pStyle w:val="21"/>
        <w:spacing w:after="0"/>
        <w:rPr>
          <w:sz w:val="28"/>
        </w:rPr>
      </w:pPr>
      <w:r>
        <w:rPr>
          <w:sz w:val="28"/>
        </w:rPr>
        <w:t xml:space="preserve">Для успешного осуществления проектной деятельности в школе есть всё необходимое  информационно – технологическое оборудование:  компьютерный класс,  который  соединен локальной сетью и имеет доступ к сети Интернет, двенадцать мультимедийных проекторов, восемь интерактивных досок, видеокамера, цифровой фотоаппарат, химическая, физическая и биологическая лаборатории.</w:t>
      </w:r>
    </w:p>
    <w:p>
      <w:pPr>
        <w:jc w:val="both"/>
        <w:ind w:firstLine="720"/>
        <w:pStyle w:val="0"/>
        <w:rPr>
          <w:sz w:val="28"/>
        </w:rPr>
      </w:pPr>
      <w:r>
        <w:rPr>
          <w:sz w:val="28"/>
        </w:rPr>
        <w:t xml:space="preserve">Такая работа  даёт свои положительные результаты: с каждым годом растет количество участников научно – практических конференций различного уровня, качество самих исследовательских работ становится  с каждым разом лучше. Увеличилось количество учащихся, занимающих призовые места на конкурсах проектов и исследовательских работ муниципального , регионального  и межрегионального уровней.  </w:t>
      </w:r>
    </w:p>
    <w:p>
      <w:pPr>
        <w:jc w:val="both"/>
        <w:ind w:firstLine="720"/>
        <w:pStyle w:val="0"/>
        <w:rPr>
          <w:sz w:val="28"/>
        </w:rPr>
      </w:pPr>
    </w:p>
    <w:p>
      <w:pPr>
        <w:jc w:val="both"/>
        <w:pStyle w:val="0"/>
        <w:rPr>
          <w:sz w:val="28"/>
        </w:rPr>
      </w:pPr>
      <w:r>
        <w:rPr>
          <w:sz w:val="28"/>
        </w:rPr>
        <w:t xml:space="preserve">       Проект ориентирован на достижение целей самих учащихся, и поэтому он уникален. Он развивает большое количество умений и навыков, и поэтому он эффективен. Он формирует опыт деятельности, и поэтому он незаменим. </w:t>
      </w:r>
    </w:p>
    <w:p>
      <w:pPr>
        <w:jc w:val="both"/>
        <w:pStyle w:val="0"/>
        <w:rPr>
          <w:sz w:val="28"/>
        </w:rPr>
      </w:pPr>
      <w:r>
        <w:rPr>
          <w:sz w:val="28"/>
        </w:rPr>
        <w:t xml:space="preserve">       Он может варьироваться, и поэтому он интересен и привлекателен. Он решает множество воспитательных задач, и поэтому он нравственен, является комплексным, многоцелевым, современным, инновационным, востребованным, интегративным, социально ориентированным и личностно ориентированным. Он позволяет «учить не для школы, а для жизни»,что особенно важно в условиях перехода к стандартам нового поколения.</w:t>
      </w:r>
    </w:p>
    <w:p>
      <w:pPr>
        <w:jc w:val="both"/>
        <w:pStyle w:val="16"/>
        <w:spacing w:before="0" w:after="0"/>
        <w:rPr>
          <w:sz w:val="28"/>
        </w:rPr>
      </w:pPr>
    </w:p>
    <w:p>
      <w:pPr>
        <w:jc w:val="both"/>
        <w:ind w:firstLine="720"/>
        <w:pStyle w:val="16"/>
        <w:spacing w:before="0" w:after="0"/>
        <w:rPr>
          <w:sz w:val="28"/>
        </w:rPr>
      </w:pPr>
      <w:r>
        <w:rPr>
          <w:sz w:val="28"/>
        </w:rPr>
        <w:t>    </w:t>
      </w:r>
    </w:p>
    <w:p>
      <w:pPr>
        <w:jc w:val="both"/>
        <w:ind w:firstLine="720"/>
        <w:pStyle w:val="16"/>
        <w:spacing w:before="0" w:after="0"/>
        <w:rPr>
          <w:sz w:val="28"/>
        </w:rPr>
      </w:pPr>
    </w:p>
    <w:p>
      <w:pPr>
        <w:jc w:val="both"/>
        <w:ind w:firstLine="720"/>
        <w:pStyle w:val="16"/>
        <w:spacing w:before="0" w:after="0"/>
        <w:rPr>
          <w:sz w:val="28"/>
        </w:rPr>
      </w:pPr>
    </w:p>
    <w:p>
      <w:pPr>
        <w:jc w:val="both"/>
        <w:ind w:firstLine="720"/>
        <w:pStyle w:val="16"/>
        <w:spacing w:before="0" w:after="0"/>
        <w:rPr>
          <w:sz w:val="28"/>
        </w:rPr>
      </w:pPr>
      <w:r>
        <w:rPr>
          <w:sz w:val="28"/>
        </w:rPr>
        <w:t xml:space="preserve">                                                  Литература:</w:t>
      </w:r>
    </w:p>
    <w:p>
      <w:pPr>
        <w:jc w:val="both"/>
        <w:pStyle w:val="16"/>
        <w:spacing w:before="0" w:after="0"/>
        <w:numPr>
          <w:ilvl w:val="0"/>
          <w:numId w:val="18"/>
        </w:numPr>
        <w:rPr>
          <w:sz w:val="28"/>
        </w:rPr>
      </w:pPr>
      <w:r>
        <w:rPr>
          <w:sz w:val="28"/>
          <w:color w:val="000000"/>
        </w:rPr>
        <w:t xml:space="preserve">Крылова Н. Проектная деятельность школьника как принцип организации и реорганизации образования.// Народное образование . - 2005 . - № 2 - с.113-121</w:t>
      </w:r>
    </w:p>
    <w:p>
      <w:pPr>
        <w:jc w:val="both"/>
        <w:pStyle w:val="0"/>
        <w:numPr>
          <w:ilvl w:val="0"/>
          <w:numId w:val="18"/>
        </w:numPr>
        <w:rPr>
          <w:sz w:val="28"/>
        </w:rPr>
      </w:pPr>
      <w:r>
        <w:rPr>
          <w:sz w:val="28"/>
          <w:color w:val="000000"/>
        </w:rPr>
        <w:t xml:space="preserve">Новые педагогические и информационные технологии в системе образования. – М. – Academa. – 2003</w:t>
      </w:r>
    </w:p>
    <w:p>
      <w:pPr>
        <w:jc w:val="both"/>
        <w:pStyle w:val="0"/>
        <w:numPr>
          <w:ilvl w:val="0"/>
          <w:numId w:val="18"/>
        </w:numPr>
        <w:rPr>
          <w:sz w:val="28"/>
        </w:rPr>
      </w:pPr>
      <w:r>
        <w:rPr>
          <w:sz w:val="28"/>
          <w:color w:val="000000"/>
        </w:rPr>
        <w:t xml:space="preserve">Проектная деятельность на уроках русского языка и литературы.// Методический вестник. - Опыт учителей школ г.Чайковского. – 1999 - № 4 – с.21-28//</w:t>
      </w:r>
    </w:p>
    <w:sectPr>
      <w:pgSz w:w="11906" w:h="16838"/>
      <w:pgMar w:top="1701" w:bottom="1134" w:left="1134" w:right="1134"/>
      <w:docGrid w:linePitch="360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>
  <w:abstractNum w:abstractNumId="1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"/>
      <w:start w:val="1"/>
      <w:pPr>
        <w:ind w:left="1440" w:hanging="360"/>
      </w:pPr>
      <w:rPr>
        <w:rFonts w:hAnsi="Symbol" w:ascii="Symbol"/>
        <w:sz w:val="20"/>
      </w:rPr>
    </w:lvl>
    <w:lvl w:ilvl="2">
      <w:numFmt w:val="bullet"/>
      <w:lvlText w:val=""/>
      <w:start w:val="1"/>
      <w:pPr>
        <w:ind w:left="2160" w:hanging="360"/>
      </w:pPr>
      <w:rPr>
        <w:rFonts w:hAnsi="Symbol" w:ascii="Symbol"/>
        <w:sz w:val="20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  <w:sz w:val="20"/>
      </w:rPr>
    </w:lvl>
    <w:lvl w:ilvl="4">
      <w:numFmt w:val="bullet"/>
      <w:lvlText w:val=""/>
      <w:start w:val="1"/>
      <w:pPr>
        <w:ind w:left="3600" w:hanging="360"/>
      </w:pPr>
      <w:rPr>
        <w:rFonts w:hAnsi="Symbol" w:ascii="Symbol"/>
        <w:sz w:val="20"/>
      </w:rPr>
    </w:lvl>
    <w:lvl w:ilvl="5">
      <w:numFmt w:val="bullet"/>
      <w:lvlText w:val=""/>
      <w:start w:val="1"/>
      <w:pPr>
        <w:ind w:left="4320" w:hanging="360"/>
      </w:pPr>
      <w:rPr>
        <w:rFonts w:hAnsi="Symbol" w:ascii="Symbol"/>
        <w:sz w:val="20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  <w:sz w:val="20"/>
      </w:rPr>
    </w:lvl>
    <w:lvl w:ilvl="7">
      <w:numFmt w:val="bullet"/>
      <w:lvlText w:val=""/>
      <w:start w:val="1"/>
      <w:pPr>
        <w:ind w:left="5760" w:hanging="360"/>
      </w:pPr>
      <w:rPr>
        <w:rFonts w:hAnsi="Symbol" w:ascii="Symbol"/>
        <w:sz w:val="20"/>
      </w:rPr>
    </w:lvl>
    <w:lvl w:ilvl="8">
      <w:numFmt w:val="bullet"/>
      <w:lvlText w:val=""/>
      <w:start w:val="1"/>
      <w:pPr>
        <w:ind w:left="6480" w:hanging="360"/>
      </w:pPr>
      <w:rPr>
        <w:rFonts w:hAnsi="Symbol" w:ascii="Symbol"/>
        <w:sz w:val="20"/>
      </w:rPr>
    </w:lvl>
  </w:abstractNum>
  <w:abstractNum w:abstractNumId="2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3">
    <w:lvl w:ilvl="0">
      <w:numFmt w:val="bullet"/>
      <w:lvlText w:val=""/>
      <w:start w:val="1"/>
      <w:pPr>
        <w:ind w:left="720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60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576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</w:rPr>
    </w:lvl>
  </w:abstractNum>
  <w:abstractNum w:abstractNumId="4">
    <w:lvl w:ilvl="0">
      <w:numFmt w:val="bullet"/>
      <w:lvlText w:val=""/>
      <w:start w:val="1"/>
      <w:pPr>
        <w:ind w:left="1260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98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70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342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414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86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58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630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7020" w:hanging="360"/>
      </w:pPr>
      <w:rPr>
        <w:rFonts w:hAnsi="Wingdings" w:ascii="Wingdings"/>
      </w:rPr>
    </w:lvl>
  </w:abstractNum>
  <w:abstractNum w:abstractNumId="5">
    <w:lvl w:ilvl="0">
      <w:numFmt w:val="bullet"/>
      <w:lvlText w:val=""/>
      <w:start w:val="1"/>
      <w:pPr>
        <w:ind w:left="720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60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576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</w:rPr>
    </w:lvl>
  </w:abstractNum>
  <w:abstractNum w:abstractNumId="6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7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8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9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10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11">
    <w:lvl w:ilvl="0">
      <w:numFmt w:val="decimal"/>
      <w:lvlText w:val="%1."/>
      <w:start w:val="1"/>
      <w:pPr>
        <w:ind w:left="720" w:hanging="360"/>
      </w:pPr>
    </w:lvl>
    <w:lvl w:ilvl="1">
      <w:numFmt w:val="decimal"/>
      <w:lvlText w:val="%2."/>
      <w:start w:val="1"/>
      <w:pPr>
        <w:ind w:left="1440" w:hanging="360"/>
      </w:pPr>
    </w:lvl>
    <w:lvl w:ilvl="2">
      <w:numFmt w:val="decimal"/>
      <w:lvlText w:val="%3."/>
      <w:start w:val="1"/>
      <w:pPr>
        <w:ind w:left="2160" w:hanging="36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36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360"/>
      </w:pPr>
    </w:lvl>
  </w:abstractNum>
  <w:abstractNum w:abstractNumId="12">
    <w:lvl w:ilvl="0">
      <w:numFmt w:val="bullet"/>
      <w:lvlText w:val=""/>
      <w:start w:val="1"/>
      <w:pPr>
        <w:ind w:left="720" w:hanging="360"/>
      </w:pPr>
      <w:rPr>
        <w:rFonts w:hAnsi="Wingdings" w:ascii="Wingdings"/>
      </w:rPr>
    </w:lvl>
    <w:lvl w:ilvl="1">
      <w:numFmt w:val="bullet"/>
      <w:lvlText w:val=""/>
      <w:start w:val="0"/>
      <w:pPr>
        <w:ind w:left="360" w:hanging="360"/>
      </w:pPr>
      <w:rPr>
        <w:rFonts w:hAnsi="Symbol" w:ascii="Symbol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60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576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</w:rPr>
    </w:lvl>
  </w:abstractNum>
  <w:abstractNum w:abstractNumId="13">
    <w:lvl w:ilvl="0">
      <w:numFmt w:val="bullet"/>
      <w:lvlText w:val=""/>
      <w:start w:val="1"/>
      <w:pPr>
        <w:ind w:left="720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60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576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</w:rPr>
    </w:lvl>
  </w:abstractNum>
  <w:abstractNum w:abstractNumId="14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15">
    <w:lvl w:ilvl="0">
      <w:numFmt w:val="decimal"/>
      <w:lvlText w:val="%1."/>
      <w:start w:val="1"/>
      <w:pPr>
        <w:ind w:left="360" w:hanging="360"/>
      </w:pPr>
    </w:lvl>
  </w:abstractNum>
  <w:abstractNum w:abstractNumId="16">
    <w:lvl w:ilvl="0">
      <w:numFmt w:val="bullet"/>
      <w:lvlText w:val=""/>
      <w:start w:val="1"/>
      <w:pPr>
        <w:ind w:left="1080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80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52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324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96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68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40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612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840" w:hanging="360"/>
      </w:pPr>
      <w:rPr>
        <w:rFonts w:hAnsi="Wingdings" w:ascii="Wingdings"/>
      </w:rPr>
    </w:lvl>
  </w:abstractNum>
  <w:abstractNum w:abstractNumId="17">
    <w:lvl w:ilvl="0">
      <w:numFmt w:val="decimal"/>
      <w:lvlText w:val="%1."/>
      <w:start w:val="1"/>
      <w:pPr>
        <w:ind w:left="1080" w:hanging="360"/>
      </w:pPr>
    </w:lvl>
    <w:lvl w:ilvl="1">
      <w:numFmt w:val="decimal"/>
      <w:lvlText w:val="%2."/>
      <w:start w:val="1"/>
      <w:pPr>
        <w:ind w:left="1800" w:hanging="360"/>
      </w:pPr>
    </w:lvl>
    <w:lvl w:ilvl="2">
      <w:numFmt w:val="decimal"/>
      <w:lvlText w:val="%3."/>
      <w:start w:val="1"/>
      <w:pPr>
        <w:ind w:left="2520" w:hanging="180"/>
      </w:pPr>
    </w:lvl>
    <w:lvl w:ilvl="3">
      <w:numFmt w:val="decimal"/>
      <w:lvlText w:val="%4."/>
      <w:start w:val="1"/>
      <w:pPr>
        <w:ind w:left="3240" w:hanging="360"/>
      </w:pPr>
    </w:lvl>
    <w:lvl w:ilvl="4">
      <w:numFmt w:val="decimal"/>
      <w:lvlText w:val="%5."/>
      <w:start w:val="1"/>
      <w:pPr>
        <w:ind w:left="3960" w:hanging="360"/>
      </w:pPr>
    </w:lvl>
    <w:lvl w:ilvl="5">
      <w:numFmt w:val="decimal"/>
      <w:lvlText w:val="%6."/>
      <w:start w:val="1"/>
      <w:pPr>
        <w:ind w:left="4680" w:hanging="180"/>
      </w:pPr>
    </w:lvl>
    <w:lvl w:ilvl="6">
      <w:numFmt w:val="decimal"/>
      <w:lvlText w:val="%7."/>
      <w:start w:val="1"/>
      <w:pPr>
        <w:ind w:left="5400" w:hanging="360"/>
      </w:pPr>
    </w:lvl>
    <w:lvl w:ilvl="7">
      <w:numFmt w:val="decimal"/>
      <w:lvlText w:val="%8."/>
      <w:start w:val="1"/>
      <w:pPr>
        <w:ind w:left="6120" w:hanging="360"/>
      </w:pPr>
    </w:lvl>
    <w:lvl w:ilvl="8">
      <w:numFmt w:val="decimal"/>
      <w:lvlText w:val="%9."/>
      <w:start w:val="1"/>
      <w:pPr>
        <w:ind w:left="6840" w:hanging="180"/>
      </w:pPr>
    </w:lvl>
  </w:abstractNum>
  <w:abstractNum w:abstractNumId="18">
    <w:lvl w:ilvl="0">
      <w:numFmt w:val="decimal"/>
      <w:lvlText w:val="%1."/>
      <w:start w:val="1"/>
      <w:pPr>
        <w:ind w:left="1440" w:hanging="360"/>
      </w:pPr>
    </w:lvl>
    <w:lvl w:ilvl="1">
      <w:numFmt w:val="decimal"/>
      <w:lvlText w:val="%2."/>
      <w:start w:val="1"/>
      <w:pPr>
        <w:ind w:left="2160" w:hanging="360"/>
      </w:pPr>
    </w:lvl>
    <w:lvl w:ilvl="2">
      <w:numFmt w:val="decimal"/>
      <w:lvlText w:val="%3."/>
      <w:start w:val="1"/>
      <w:pPr>
        <w:ind w:left="2880" w:hanging="180"/>
      </w:pPr>
    </w:lvl>
    <w:lvl w:ilvl="3">
      <w:numFmt w:val="decimal"/>
      <w:lvlText w:val="%4."/>
      <w:start w:val="1"/>
      <w:pPr>
        <w:ind w:left="3600" w:hanging="360"/>
      </w:pPr>
    </w:lvl>
    <w:lvl w:ilvl="4">
      <w:numFmt w:val="decimal"/>
      <w:lvlText w:val="%5."/>
      <w:start w:val="1"/>
      <w:pPr>
        <w:ind w:left="4320" w:hanging="360"/>
      </w:pPr>
    </w:lvl>
    <w:lvl w:ilvl="5">
      <w:numFmt w:val="decimal"/>
      <w:lvlText w:val="%6."/>
      <w:start w:val="1"/>
      <w:pPr>
        <w:ind w:left="5040" w:hanging="180"/>
      </w:pPr>
    </w:lvl>
    <w:lvl w:ilvl="6">
      <w:numFmt w:val="decimal"/>
      <w:lvlText w:val="%7."/>
      <w:start w:val="1"/>
      <w:pPr>
        <w:ind w:left="5760" w:hanging="360"/>
      </w:pPr>
    </w:lvl>
    <w:lvl w:ilvl="7">
      <w:numFmt w:val="decimal"/>
      <w:lvlText w:val="%8."/>
      <w:start w:val="1"/>
      <w:pPr>
        <w:ind w:left="6480" w:hanging="360"/>
      </w:pPr>
    </w:lvl>
    <w:lvl w:ilvl="8">
      <w:numFmt w:val="decimal"/>
      <w:lvlText w:val="%9."/>
      <w:start w:val="1"/>
      <w:pPr>
        <w:ind w:left="7200" w:hanging="180"/>
      </w:pPr>
    </w:lvl>
  </w:abstractNum>
  <w:abstractNum w:abstractNumId="19">
    <w:lvl w:ilvl="0">
      <w:numFmt w:val="bullet"/>
      <w:lvlText w:val=""/>
      <w:start w:val="1"/>
      <w:pPr>
        <w:ind w:left="1245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965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685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3405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4125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845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565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6285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7005" w:hanging="360"/>
      </w:pPr>
      <w:rPr>
        <w:rFonts w:hAnsi="Wingdings" w:ascii="Wingdings"/>
      </w:rPr>
    </w:lvl>
  </w:abstractNum>
  <w:num w:numId="10">
    <w:abstractNumId w:val="10"/>
  </w:num>
  <w:num w:numId="19">
    <w:abstractNumId w:val="19"/>
  </w:num>
  <w:num w:numId="18">
    <w:abstractNumId w:val="18"/>
  </w: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</w:numbering>
</file>

<file path=word/settings.xml><?xml version="1.0" encoding="utf-8"?>
<w:settings xmlns:w="http://schemas.openxmlformats.org/wordprocessingml/2006/main">
  <w:defaultTabStop w:val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Times New Roman" w:ascii="Times New Roman"/>
        <w:sz w:val="20"/>
      </w:rPr>
    </w:rPrDefault>
    <w:pPrDefault>
      <w:pPr>
        <w:spacing w:lineRule="auto" w:line="240.0"/>
      </w:pPr>
    </w:pPrDefault>
  </w:docDefaults>
  <w:style w:styleId="24" w:type="paragraph">
    <w:name w:val="li"/>
    <w:pPr>
      <w:spacing w:before="100" w:after="100"/>
    </w:pPr>
    <w:rPr>
      <w:sz w:val="48"/>
      <w:color w:val="000000"/>
    </w:rPr>
  </w:style>
  <w:style w:styleId="25" w:type="paragraph">
    <w:name w:val="Нижний колонтитул"/>
    <w:rPr>
      <w:sz w:val="24"/>
    </w:rPr>
  </w:style>
  <w:style w:styleId="27" w:type="paragraph">
    <w:name w:val="Верхний колонтитул"/>
    <w:rPr>
      <w:sz w:val="24"/>
    </w:rPr>
  </w:style>
  <w:style w:styleId="20" w:type="paragraph">
    <w:name w:val="Основной текст с отступом 2"/>
    <w:pPr>
      <w:ind w:left="283"/>
      <w:spacing w:after="120" w:lineRule="auto" w:line="480.0"/>
    </w:pPr>
    <w:rPr>
      <w:sz w:val="24"/>
    </w:rPr>
  </w:style>
  <w:style w:styleId="21" w:type="paragraph">
    <w:name w:val="Основной текст с отступом"/>
    <w:pPr>
      <w:ind w:left="283"/>
      <w:spacing w:after="120"/>
    </w:pPr>
    <w:rPr>
      <w:sz w:val="24"/>
    </w:rPr>
  </w:style>
  <w:style w:styleId="22" w:type="paragraph">
    <w:name w:val="Основной текст с отступом 3"/>
    <w:pPr>
      <w:ind w:left="283"/>
      <w:spacing w:after="120"/>
    </w:pPr>
    <w:rPr>
      <w:sz w:val="16"/>
    </w:rPr>
  </w:style>
  <w:style w:styleId="16" w:type="paragraph">
    <w:name w:val="Обычный (веб)"/>
    <w:pPr>
      <w:spacing w:before="30" w:after="30"/>
    </w:pPr>
    <w:rPr>
      <w:sz w:val="20"/>
    </w:rPr>
  </w:style>
  <w:style w:styleId="19" w:type="paragraph">
    <w:name w:val="Название"/>
    <w:pPr>
      <w:jc w:val="center"/>
    </w:pPr>
    <w:rPr>
      <w:sz w:val="32"/>
      <w:b w:val="1"/>
    </w:rPr>
  </w:style>
  <w:style w:styleId="18" w:type="paragraph">
    <w:name w:val="Основной текст"/>
    <w:pPr>
      <w:spacing w:before="30" w:after="30"/>
    </w:pPr>
    <w:rPr>
      <w:sz w:val="20"/>
    </w:rPr>
  </w:style>
  <w:style w:styleId="29" w:type="paragraph">
    <w:name w:val="Текст выноски"/>
    <w:rPr>
      <w:rFonts w:hAnsi="Tahoma" w:ascii="Tahoma"/>
      <w:sz w:val="16"/>
    </w:rPr>
  </w:style>
  <w:style w:styleId="0" w:type="paragraph">
    <w:name w:val="Обычный"/>
    <w:rPr>
      <w:sz w:val="24"/>
    </w:rPr>
  </w:style>
</w:styles>
</file>

<file path=word/_rels/document.xml.rels><?xml version='1.0' encoding='utf-8' standalone='yes'?>
<Relationships xmlns="http://schemas.openxmlformats.org/package/2006/relationships"><Relationship Id="rId1" Target="numbering.xml" Type="http://schemas.openxmlformats.org/officeDocument/2006/relationships/numbering"/><Relationship Id="rId2" Target="settings.xml" Type="http://schemas.openxmlformats.org/officeDocument/2006/relationships/settings"/><Relationship Id="rId3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познание доклад (копия 1).docx</dc:title>
</cp:coreProperties>
</file>