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 xml:space="preserve">Язык, звук, слово. Речь всегда была основным инструментом коммуникации. Конечно, есть и другие способы общения: язык жестов, мимика и прочие. Но наиболее </w:t>
      </w:r>
      <w:proofErr w:type="gramStart"/>
      <w:r>
        <w:rPr>
          <w:rFonts w:ascii="Times New Roman" w:hAnsi="Times New Roman" w:cs="Times New Roman"/>
          <w:sz w:val="28"/>
        </w:rPr>
        <w:t>эффективным</w:t>
      </w:r>
      <w:proofErr w:type="gramEnd"/>
      <w:r>
        <w:rPr>
          <w:rFonts w:ascii="Times New Roman" w:hAnsi="Times New Roman" w:cs="Times New Roman"/>
          <w:sz w:val="28"/>
        </w:rPr>
        <w:t xml:space="preserve"> всегда была речь. Языки на свете разные, но суть и смысл не измены – они нужны для передачи информации.  Но насколько затрудняется понимание друг друга, если речь искажена, неправильна.</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 xml:space="preserve">Как и многие носители языка, я не часто задумывалась об этом. И только начав работать в детском саду, я поняла насколько остро стоит вопрос. Послушав речь детей, даже не будучи логопедом, я поняла, что существует проблема речевых дефектов у детей. И это не </w:t>
      </w:r>
      <w:proofErr w:type="gramStart"/>
      <w:r>
        <w:rPr>
          <w:rFonts w:ascii="Times New Roman" w:hAnsi="Times New Roman" w:cs="Times New Roman"/>
          <w:sz w:val="28"/>
        </w:rPr>
        <w:t>простые</w:t>
      </w:r>
      <w:proofErr w:type="gramEnd"/>
      <w:r>
        <w:rPr>
          <w:rFonts w:ascii="Times New Roman" w:hAnsi="Times New Roman" w:cs="Times New Roman"/>
          <w:sz w:val="28"/>
        </w:rPr>
        <w:t xml:space="preserve"> (возрастные) картавость или западание звуков.</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Параллельно с рядовой работой по развитию речи в группе, я взяла одну интересную технику – как основу для дополнительной работы по развитию речи в средней дошкольной общеобразовательной группе. Опытом работы в этой технике я бы и хотела поделиться.</w:t>
      </w:r>
    </w:p>
    <w:p w:rsidR="007A15C7" w:rsidRDefault="008B2B12" w:rsidP="008B2B12">
      <w:pPr>
        <w:rPr>
          <w:rFonts w:ascii="Times New Roman" w:hAnsi="Times New Roman" w:cs="Times New Roman"/>
          <w:sz w:val="28"/>
        </w:rPr>
      </w:pPr>
      <w:r>
        <w:rPr>
          <w:rFonts w:ascii="Times New Roman" w:hAnsi="Times New Roman" w:cs="Times New Roman"/>
          <w:sz w:val="28"/>
        </w:rPr>
        <w:t>Как говорят мудрые: «Новое – это хорошо забытое старое». Так и взяла за основу многим известную кинезиологическую технику «Умные пальчики», немного ее дополнила и применила в работе с положительным результатом.</w:t>
      </w:r>
    </w:p>
    <w:p w:rsidR="0053168D" w:rsidRDefault="0053168D">
      <w:pPr>
        <w:rPr>
          <w:rFonts w:ascii="Times New Roman" w:hAnsi="Times New Roman" w:cs="Times New Roman"/>
          <w:sz w:val="28"/>
        </w:rPr>
      </w:pPr>
      <w:r>
        <w:rPr>
          <w:rFonts w:ascii="Times New Roman" w:hAnsi="Times New Roman" w:cs="Times New Roman"/>
          <w:sz w:val="28"/>
        </w:rPr>
        <w:br w:type="page"/>
      </w:r>
    </w:p>
    <w:p w:rsidR="008B2B12" w:rsidRPr="00DB4859" w:rsidRDefault="008B2B12" w:rsidP="008B2B12">
      <w:pPr>
        <w:spacing w:after="240"/>
        <w:ind w:firstLine="709"/>
        <w:jc w:val="both"/>
        <w:rPr>
          <w:rFonts w:ascii="Times New Roman" w:hAnsi="Times New Roman" w:cs="Times New Roman"/>
          <w:sz w:val="28"/>
        </w:rPr>
      </w:pPr>
      <w:r w:rsidRPr="00DB4859">
        <w:rPr>
          <w:rFonts w:ascii="Times New Roman" w:hAnsi="Times New Roman" w:cs="Times New Roman"/>
          <w:sz w:val="28"/>
        </w:rPr>
        <w:lastRenderedPageBreak/>
        <w:t>Цель: формирование устной речи и навыков речевого общения с окружающими на основе овладения литературным языком своего народа.</w:t>
      </w:r>
    </w:p>
    <w:p w:rsidR="008B2B12" w:rsidRPr="00DB4859" w:rsidRDefault="008B2B12" w:rsidP="008B2B12">
      <w:pPr>
        <w:spacing w:after="240"/>
        <w:jc w:val="both"/>
        <w:rPr>
          <w:rFonts w:ascii="Times New Roman" w:hAnsi="Times New Roman" w:cs="Times New Roman"/>
          <w:sz w:val="28"/>
        </w:rPr>
      </w:pPr>
      <w:r w:rsidRPr="00DB4859">
        <w:rPr>
          <w:rFonts w:ascii="Times New Roman" w:hAnsi="Times New Roman" w:cs="Times New Roman"/>
          <w:sz w:val="28"/>
        </w:rPr>
        <w:tab/>
        <w:t xml:space="preserve">Задачи: </w:t>
      </w:r>
    </w:p>
    <w:p w:rsidR="008B2B12" w:rsidRPr="00DB4859" w:rsidRDefault="008B2B12" w:rsidP="008B2B12">
      <w:pPr>
        <w:numPr>
          <w:ilvl w:val="0"/>
          <w:numId w:val="1"/>
        </w:numPr>
        <w:spacing w:after="240"/>
        <w:jc w:val="both"/>
        <w:rPr>
          <w:rFonts w:ascii="Times New Roman" w:hAnsi="Times New Roman" w:cs="Times New Roman"/>
          <w:sz w:val="28"/>
        </w:rPr>
      </w:pPr>
      <w:r w:rsidRPr="00DB4859">
        <w:rPr>
          <w:rFonts w:ascii="Times New Roman" w:hAnsi="Times New Roman" w:cs="Times New Roman"/>
          <w:sz w:val="28"/>
        </w:rPr>
        <w:t>Развивать способности к использованию диалога;</w:t>
      </w:r>
    </w:p>
    <w:p w:rsidR="008B2B12" w:rsidRPr="00DB4859" w:rsidRDefault="008B2B12" w:rsidP="008B2B12">
      <w:pPr>
        <w:numPr>
          <w:ilvl w:val="0"/>
          <w:numId w:val="1"/>
        </w:numPr>
        <w:spacing w:after="240"/>
        <w:jc w:val="both"/>
        <w:rPr>
          <w:rFonts w:ascii="Times New Roman" w:hAnsi="Times New Roman" w:cs="Times New Roman"/>
          <w:sz w:val="28"/>
        </w:rPr>
      </w:pPr>
      <w:r w:rsidRPr="00DB4859">
        <w:rPr>
          <w:rFonts w:ascii="Times New Roman" w:hAnsi="Times New Roman" w:cs="Times New Roman"/>
          <w:sz w:val="28"/>
        </w:rPr>
        <w:t>Развивать способность к выражению своих мыслей;</w:t>
      </w:r>
    </w:p>
    <w:p w:rsidR="008B2B12" w:rsidRPr="00DB4859" w:rsidRDefault="008B2B12" w:rsidP="008B2B12">
      <w:pPr>
        <w:numPr>
          <w:ilvl w:val="0"/>
          <w:numId w:val="1"/>
        </w:numPr>
        <w:spacing w:after="240"/>
        <w:jc w:val="both"/>
        <w:rPr>
          <w:rFonts w:ascii="Times New Roman" w:hAnsi="Times New Roman" w:cs="Times New Roman"/>
          <w:sz w:val="28"/>
        </w:rPr>
      </w:pPr>
      <w:r w:rsidRPr="00DB4859">
        <w:rPr>
          <w:rFonts w:ascii="Times New Roman" w:hAnsi="Times New Roman" w:cs="Times New Roman"/>
          <w:sz w:val="28"/>
        </w:rPr>
        <w:t>Обогащать словарь;</w:t>
      </w:r>
    </w:p>
    <w:p w:rsidR="008B2B12" w:rsidRPr="00DB4859" w:rsidRDefault="008B2B12" w:rsidP="008B2B12">
      <w:pPr>
        <w:numPr>
          <w:ilvl w:val="0"/>
          <w:numId w:val="1"/>
        </w:numPr>
        <w:spacing w:after="240"/>
        <w:jc w:val="both"/>
        <w:rPr>
          <w:rFonts w:ascii="Times New Roman" w:hAnsi="Times New Roman" w:cs="Times New Roman"/>
          <w:sz w:val="28"/>
        </w:rPr>
      </w:pPr>
      <w:r w:rsidRPr="00DB4859">
        <w:rPr>
          <w:rFonts w:ascii="Times New Roman" w:hAnsi="Times New Roman" w:cs="Times New Roman"/>
          <w:sz w:val="28"/>
        </w:rPr>
        <w:t>Форматировать грамматический строй речи;</w:t>
      </w:r>
    </w:p>
    <w:p w:rsidR="008B2B12" w:rsidRPr="00DB4859" w:rsidRDefault="008B2B12" w:rsidP="008B2B12">
      <w:pPr>
        <w:numPr>
          <w:ilvl w:val="0"/>
          <w:numId w:val="1"/>
        </w:numPr>
        <w:spacing w:after="240"/>
        <w:jc w:val="both"/>
        <w:rPr>
          <w:rFonts w:ascii="Times New Roman" w:hAnsi="Times New Roman" w:cs="Times New Roman"/>
          <w:sz w:val="28"/>
        </w:rPr>
      </w:pPr>
      <w:r w:rsidRPr="00DB4859">
        <w:rPr>
          <w:rFonts w:ascii="Times New Roman" w:hAnsi="Times New Roman" w:cs="Times New Roman"/>
          <w:sz w:val="28"/>
        </w:rPr>
        <w:t>Развивать произносительную сторону речи;</w:t>
      </w:r>
    </w:p>
    <w:p w:rsidR="008B2B12" w:rsidRDefault="008B2B12" w:rsidP="008B2B12">
      <w:pPr>
        <w:numPr>
          <w:ilvl w:val="0"/>
          <w:numId w:val="1"/>
        </w:numPr>
        <w:spacing w:after="240"/>
        <w:jc w:val="both"/>
        <w:rPr>
          <w:rFonts w:ascii="Times New Roman" w:hAnsi="Times New Roman" w:cs="Times New Roman"/>
          <w:sz w:val="28"/>
        </w:rPr>
      </w:pPr>
      <w:r w:rsidRPr="00DB4859">
        <w:rPr>
          <w:rFonts w:ascii="Times New Roman" w:hAnsi="Times New Roman" w:cs="Times New Roman"/>
          <w:sz w:val="28"/>
        </w:rPr>
        <w:t>Развивать и совершенствовать связную речь и др.</w:t>
      </w:r>
    </w:p>
    <w:p w:rsidR="008B2B12" w:rsidRPr="008B2B12" w:rsidRDefault="008B2B12" w:rsidP="008B2B12">
      <w:pPr>
        <w:spacing w:after="0"/>
        <w:ind w:left="360"/>
        <w:jc w:val="both"/>
        <w:rPr>
          <w:rFonts w:ascii="Times New Roman" w:hAnsi="Times New Roman" w:cs="Times New Roman"/>
          <w:sz w:val="28"/>
        </w:rPr>
      </w:pPr>
      <w:r w:rsidRPr="008B2B12">
        <w:rPr>
          <w:rFonts w:ascii="Times New Roman" w:hAnsi="Times New Roman" w:cs="Times New Roman"/>
          <w:sz w:val="28"/>
        </w:rPr>
        <w:t xml:space="preserve">Перед применением технологии, я сделала замеры уровня развития речи в возрастных группах от 4 до 7 лет, то есть я опросила 53 ребенка. </w:t>
      </w:r>
      <w:proofErr w:type="gramStart"/>
      <w:r w:rsidRPr="008B2B12">
        <w:rPr>
          <w:rFonts w:ascii="Times New Roman" w:hAnsi="Times New Roman" w:cs="Times New Roman"/>
          <w:sz w:val="28"/>
        </w:rPr>
        <w:t>Проведя несложные вычисления я выяснила</w:t>
      </w:r>
      <w:proofErr w:type="gramEnd"/>
      <w:r w:rsidRPr="008B2B12">
        <w:rPr>
          <w:rFonts w:ascii="Times New Roman" w:hAnsi="Times New Roman" w:cs="Times New Roman"/>
          <w:sz w:val="28"/>
        </w:rPr>
        <w:t xml:space="preserve">, что хороший уровень, то есть, правильная постановка звуков, отсутствие картавости, составляет 43 процента – 23 ребенка; удовлетворительный, то есть имеются возрастные западания звуков, составляет 34 процента – 18 детей, то есть треть; ограниченный – 14 процентов – 8 детей, и не удовлетворительный – 9 процентов – 4 ребенка. Чем же отличались два последних пункта? Я не стала объединять их в один уровень, так как в группах присутствовали дети двуязычные, которые до детского сада не разговаривали на русском языке, их я и вынесла в не удовлетворительный уровень. </w:t>
      </w:r>
    </w:p>
    <w:p w:rsidR="008B2B12" w:rsidRPr="008B2B12" w:rsidRDefault="008B2B12" w:rsidP="00E02F45">
      <w:pPr>
        <w:pStyle w:val="a3"/>
        <w:spacing w:after="0"/>
        <w:jc w:val="center"/>
        <w:rPr>
          <w:rFonts w:ascii="Times New Roman" w:hAnsi="Times New Roman" w:cs="Times New Roman"/>
          <w:sz w:val="28"/>
        </w:rPr>
      </w:pPr>
      <w:r w:rsidRPr="008B2B12">
        <w:rPr>
          <w:rFonts w:ascii="Times New Roman" w:hAnsi="Times New Roman" w:cs="Times New Roman"/>
          <w:bCs/>
          <w:sz w:val="28"/>
        </w:rPr>
        <w:t>Уровень речевого развития детей 4-7 лет</w:t>
      </w:r>
    </w:p>
    <w:p w:rsidR="008B2B12" w:rsidRPr="008B2B12" w:rsidRDefault="008B2B12" w:rsidP="008B2B12">
      <w:pPr>
        <w:spacing w:after="240"/>
        <w:ind w:left="360"/>
        <w:jc w:val="both"/>
        <w:rPr>
          <w:rFonts w:ascii="Times New Roman" w:hAnsi="Times New Roman" w:cs="Times New Roman"/>
          <w:sz w:val="28"/>
        </w:rPr>
      </w:pPr>
      <w:r w:rsidRPr="00B65C27">
        <w:rPr>
          <w:noProof/>
        </w:rPr>
        <w:drawing>
          <wp:inline distT="0" distB="0" distL="0" distR="0">
            <wp:extent cx="5725885" cy="2035628"/>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B2B12" w:rsidRPr="008B2B12" w:rsidRDefault="008B2B12" w:rsidP="008B2B12">
      <w:pPr>
        <w:spacing w:after="0"/>
        <w:ind w:left="360"/>
        <w:jc w:val="both"/>
        <w:rPr>
          <w:rFonts w:ascii="Times New Roman" w:hAnsi="Times New Roman" w:cs="Times New Roman"/>
          <w:sz w:val="28"/>
        </w:rPr>
      </w:pPr>
      <w:r w:rsidRPr="008B2B12">
        <w:rPr>
          <w:rFonts w:ascii="Times New Roman" w:hAnsi="Times New Roman" w:cs="Times New Roman"/>
          <w:sz w:val="28"/>
        </w:rPr>
        <w:t xml:space="preserve">Но это всего лишь общие данные. Для того чтобы начать работу в своей средней группе общеобразовательной направленности, я сделала контрольный срез в октябре 2013 года. </w:t>
      </w:r>
      <w:proofErr w:type="gramStart"/>
      <w:r w:rsidRPr="008B2B12">
        <w:rPr>
          <w:rFonts w:ascii="Times New Roman" w:hAnsi="Times New Roman" w:cs="Times New Roman"/>
          <w:sz w:val="28"/>
        </w:rPr>
        <w:t xml:space="preserve">Расчеты показали, что хороший </w:t>
      </w:r>
      <w:r w:rsidRPr="008B2B12">
        <w:rPr>
          <w:rFonts w:ascii="Times New Roman" w:hAnsi="Times New Roman" w:cs="Times New Roman"/>
          <w:sz w:val="28"/>
        </w:rPr>
        <w:lastRenderedPageBreak/>
        <w:t>уровень – 41 процент – 9 детей; удовлетворительный – 27 процентов – 6 детей; ограниченный – 18 процентов – 4 ребенка, и не удовлетворительный – 14 процентов – 3 ребенка.</w:t>
      </w:r>
      <w:proofErr w:type="gramEnd"/>
      <w:r w:rsidRPr="008B2B12">
        <w:rPr>
          <w:rFonts w:ascii="Times New Roman" w:hAnsi="Times New Roman" w:cs="Times New Roman"/>
          <w:sz w:val="28"/>
        </w:rPr>
        <w:t xml:space="preserve"> Стоит отметить, что двое детей имели реальные проблемы с произношением, а третий ребенок, как я уже указывала, до посещения детского сада на русском языке не говорил. Критерии оценки были те же</w:t>
      </w:r>
      <w:proofErr w:type="gramStart"/>
      <w:r w:rsidRPr="008B2B12">
        <w:rPr>
          <w:rFonts w:ascii="Times New Roman" w:hAnsi="Times New Roman" w:cs="Times New Roman"/>
          <w:sz w:val="28"/>
        </w:rPr>
        <w:t xml:space="preserve"> ,</w:t>
      </w:r>
      <w:proofErr w:type="gramEnd"/>
      <w:r w:rsidRPr="008B2B12">
        <w:rPr>
          <w:rFonts w:ascii="Times New Roman" w:hAnsi="Times New Roman" w:cs="Times New Roman"/>
          <w:sz w:val="28"/>
        </w:rPr>
        <w:t xml:space="preserve"> что и в других группах.</w:t>
      </w:r>
    </w:p>
    <w:p w:rsidR="008B2B12" w:rsidRPr="008B2B12" w:rsidRDefault="008B2B12" w:rsidP="008B2B12">
      <w:pPr>
        <w:pStyle w:val="a3"/>
        <w:spacing w:after="0"/>
        <w:jc w:val="center"/>
        <w:rPr>
          <w:rFonts w:ascii="Times New Roman" w:hAnsi="Times New Roman" w:cs="Times New Roman"/>
          <w:sz w:val="28"/>
        </w:rPr>
      </w:pPr>
      <w:r w:rsidRPr="008B2B12">
        <w:rPr>
          <w:rFonts w:ascii="Times New Roman" w:hAnsi="Times New Roman" w:cs="Times New Roman"/>
          <w:sz w:val="28"/>
        </w:rPr>
        <w:t>Уровень речевого развития в группе №7 (</w:t>
      </w:r>
      <w:proofErr w:type="gramStart"/>
      <w:r w:rsidRPr="008B2B12">
        <w:rPr>
          <w:rFonts w:ascii="Times New Roman" w:hAnsi="Times New Roman" w:cs="Times New Roman"/>
          <w:sz w:val="28"/>
        </w:rPr>
        <w:t>средняя</w:t>
      </w:r>
      <w:proofErr w:type="gramEnd"/>
      <w:r w:rsidRPr="008B2B12">
        <w:rPr>
          <w:rFonts w:ascii="Times New Roman" w:hAnsi="Times New Roman" w:cs="Times New Roman"/>
          <w:sz w:val="28"/>
        </w:rPr>
        <w:t>)</w:t>
      </w:r>
    </w:p>
    <w:p w:rsidR="008B2B12" w:rsidRPr="008B2B12" w:rsidRDefault="008B2B12" w:rsidP="008B2B12">
      <w:pPr>
        <w:pStyle w:val="a3"/>
        <w:spacing w:after="0"/>
        <w:jc w:val="center"/>
        <w:rPr>
          <w:rFonts w:ascii="Times New Roman" w:hAnsi="Times New Roman" w:cs="Times New Roman"/>
          <w:sz w:val="28"/>
        </w:rPr>
      </w:pPr>
      <w:r>
        <w:rPr>
          <w:rFonts w:ascii="Times New Roman" w:hAnsi="Times New Roman" w:cs="Times New Roman"/>
          <w:noProof/>
          <w:sz w:val="28"/>
        </w:rPr>
        <w:drawing>
          <wp:anchor distT="0" distB="0" distL="114300" distR="114300" simplePos="0" relativeHeight="251659264" behindDoc="0" locked="0" layoutInCell="1" allowOverlap="1">
            <wp:simplePos x="0" y="0"/>
            <wp:positionH relativeFrom="column">
              <wp:posOffset>177165</wp:posOffset>
            </wp:positionH>
            <wp:positionV relativeFrom="paragraph">
              <wp:posOffset>128905</wp:posOffset>
            </wp:positionV>
            <wp:extent cx="5648325" cy="1838325"/>
            <wp:effectExtent l="0" t="0" r="0" b="0"/>
            <wp:wrapNone/>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8B2B12" w:rsidRPr="008B2B12" w:rsidRDefault="008B2B12" w:rsidP="008B2B12">
      <w:pPr>
        <w:pStyle w:val="a3"/>
        <w:rPr>
          <w:rFonts w:ascii="Times New Roman" w:hAnsi="Times New Roman" w:cs="Times New Roman"/>
          <w:sz w:val="28"/>
        </w:rPr>
      </w:pPr>
    </w:p>
    <w:p w:rsidR="008B2B12" w:rsidRPr="008B2B12" w:rsidRDefault="008B2B12" w:rsidP="008B2B12">
      <w:pPr>
        <w:pStyle w:val="a3"/>
        <w:rPr>
          <w:rFonts w:ascii="Times New Roman" w:hAnsi="Times New Roman" w:cs="Times New Roman"/>
          <w:sz w:val="28"/>
        </w:rPr>
      </w:pPr>
    </w:p>
    <w:p w:rsidR="008B2B12" w:rsidRPr="008B2B12" w:rsidRDefault="008B2B12" w:rsidP="008B2B12">
      <w:pPr>
        <w:pStyle w:val="a3"/>
        <w:rPr>
          <w:rFonts w:ascii="Times New Roman" w:hAnsi="Times New Roman" w:cs="Times New Roman"/>
          <w:sz w:val="28"/>
        </w:rPr>
      </w:pPr>
    </w:p>
    <w:p w:rsidR="008B2B12" w:rsidRDefault="008B2B12" w:rsidP="008B2B12"/>
    <w:p w:rsidR="008B2B12" w:rsidRDefault="008B2B12" w:rsidP="008B2B12"/>
    <w:p w:rsidR="008B2B12" w:rsidRDefault="008B2B12" w:rsidP="008B2B12"/>
    <w:p w:rsidR="008B2B12" w:rsidRDefault="008B2B12" w:rsidP="008B2B12">
      <w:pPr>
        <w:spacing w:after="120"/>
        <w:ind w:firstLine="709"/>
        <w:rPr>
          <w:rFonts w:ascii="Times New Roman" w:hAnsi="Times New Roman" w:cs="Times New Roman"/>
          <w:sz w:val="28"/>
        </w:rPr>
      </w:pPr>
      <w:r>
        <w:rPr>
          <w:rFonts w:ascii="Times New Roman" w:hAnsi="Times New Roman" w:cs="Times New Roman"/>
          <w:sz w:val="28"/>
        </w:rPr>
        <w:t xml:space="preserve">Как уже было отмечено, традиционная работа по развитию речи в средней общеобразовательной группе №7 велась в полном соответствии с программой общеобразовательной направленности «Радуга» </w:t>
      </w:r>
      <w:proofErr w:type="spellStart"/>
      <w:r>
        <w:rPr>
          <w:rFonts w:ascii="Times New Roman" w:hAnsi="Times New Roman" w:cs="Times New Roman"/>
          <w:sz w:val="28"/>
        </w:rPr>
        <w:t>Дороновой</w:t>
      </w:r>
      <w:proofErr w:type="spellEnd"/>
      <w:r>
        <w:rPr>
          <w:rFonts w:ascii="Times New Roman" w:hAnsi="Times New Roman" w:cs="Times New Roman"/>
          <w:sz w:val="28"/>
        </w:rPr>
        <w:t xml:space="preserve"> Т.Н. единственное, что</w:t>
      </w:r>
      <w:proofErr w:type="gramStart"/>
      <w:r>
        <w:rPr>
          <w:rFonts w:ascii="Times New Roman" w:hAnsi="Times New Roman" w:cs="Times New Roman"/>
          <w:sz w:val="28"/>
        </w:rPr>
        <w:t xml:space="preserve"> ,</w:t>
      </w:r>
      <w:proofErr w:type="gramEnd"/>
      <w:r>
        <w:rPr>
          <w:rFonts w:ascii="Times New Roman" w:hAnsi="Times New Roman" w:cs="Times New Roman"/>
          <w:sz w:val="28"/>
        </w:rPr>
        <w:t xml:space="preserve"> наверное, я хотела бы отметить, в рядовую работу, в образовательной деятельности по развитию речи, я по немного внедряла свои авторские доработки. Например, «Литературный калейдоскоп» стихотворение </w:t>
      </w:r>
      <w:proofErr w:type="spellStart"/>
      <w:r>
        <w:rPr>
          <w:rFonts w:ascii="Times New Roman" w:hAnsi="Times New Roman" w:cs="Times New Roman"/>
          <w:sz w:val="28"/>
        </w:rPr>
        <w:t>Г.Кружкова</w:t>
      </w:r>
      <w:proofErr w:type="spellEnd"/>
      <w:r>
        <w:rPr>
          <w:rFonts w:ascii="Times New Roman" w:hAnsi="Times New Roman" w:cs="Times New Roman"/>
          <w:sz w:val="28"/>
        </w:rPr>
        <w:t xml:space="preserve"> «</w:t>
      </w:r>
      <w:proofErr w:type="spellStart"/>
      <w:r>
        <w:rPr>
          <w:rFonts w:ascii="Times New Roman" w:hAnsi="Times New Roman" w:cs="Times New Roman"/>
          <w:sz w:val="28"/>
        </w:rPr>
        <w:t>Ррры</w:t>
      </w:r>
      <w:proofErr w:type="spellEnd"/>
      <w:r>
        <w:rPr>
          <w:rFonts w:ascii="Times New Roman" w:hAnsi="Times New Roman" w:cs="Times New Roman"/>
          <w:sz w:val="28"/>
        </w:rPr>
        <w:t xml:space="preserve">!». В процессе прочтения и учения наизусть, я заметила, что дети запоминают быстрее, если добавить движения (в соответствии с текстом). </w:t>
      </w:r>
    </w:p>
    <w:p w:rsidR="008B2B12" w:rsidRDefault="008B2B12" w:rsidP="008B2B12">
      <w:pPr>
        <w:spacing w:after="0"/>
        <w:ind w:firstLine="709"/>
        <w:rPr>
          <w:rFonts w:ascii="Times New Roman" w:hAnsi="Times New Roman" w:cs="Times New Roman"/>
          <w:sz w:val="28"/>
        </w:rPr>
      </w:pPr>
      <w:r>
        <w:rPr>
          <w:rFonts w:ascii="Times New Roman" w:hAnsi="Times New Roman" w:cs="Times New Roman"/>
          <w:sz w:val="28"/>
        </w:rPr>
        <w:t xml:space="preserve">Что касается Ознакомления с художественной литературой, как образовательной деятельности, то читая с детьми сказки, мы добавляли кинезиологические упражнения. Как итог, дети и сказки запоминали лучше, и кинезиологические упражнения повторялись чаще. </w:t>
      </w:r>
    </w:p>
    <w:p w:rsidR="008B2B12" w:rsidRPr="0031143A" w:rsidRDefault="008B2B12" w:rsidP="008B2B12">
      <w:pPr>
        <w:pStyle w:val="a6"/>
        <w:spacing w:before="0" w:beforeAutospacing="0" w:after="0" w:afterAutospacing="0"/>
        <w:ind w:firstLine="709"/>
        <w:jc w:val="both"/>
        <w:rPr>
          <w:sz w:val="28"/>
        </w:rPr>
      </w:pPr>
      <w:r w:rsidRPr="0031143A">
        <w:rPr>
          <w:sz w:val="28"/>
        </w:rPr>
        <w:t>Кинезиология – наука о развитии головного мозга через движение. Она существует уже двести лет и используется во всем мире.</w:t>
      </w:r>
    </w:p>
    <w:p w:rsidR="008B2B12" w:rsidRDefault="008B2B12" w:rsidP="008B2B12">
      <w:pPr>
        <w:pStyle w:val="a6"/>
        <w:spacing w:before="0" w:beforeAutospacing="0" w:after="0" w:afterAutospacing="0"/>
        <w:ind w:firstLine="709"/>
        <w:jc w:val="both"/>
      </w:pPr>
      <w:r w:rsidRPr="0031143A">
        <w:rPr>
          <w:sz w:val="28"/>
        </w:rPr>
        <w:t>Кинезиологические упражнение – это комплекс движений позволяющих активизировать межполушарное воздействие. Кинезиологическими движениями пользовались Гиппократ и Аристотель</w:t>
      </w:r>
      <w:r>
        <w:t>.</w:t>
      </w:r>
    </w:p>
    <w:p w:rsidR="008B2B12" w:rsidRDefault="008B2B12" w:rsidP="008B2B12">
      <w:pPr>
        <w:pStyle w:val="a6"/>
        <w:spacing w:before="0" w:beforeAutospacing="0" w:after="0" w:afterAutospacing="0"/>
        <w:ind w:firstLine="709"/>
        <w:jc w:val="both"/>
        <w:rPr>
          <w:sz w:val="28"/>
        </w:rPr>
      </w:pPr>
      <w:r w:rsidRPr="0031143A">
        <w:rPr>
          <w:sz w:val="28"/>
        </w:rPr>
        <w:t>Сама по</w:t>
      </w:r>
      <w:r>
        <w:rPr>
          <w:sz w:val="28"/>
        </w:rPr>
        <w:t xml:space="preserve"> себе данная техника не была мне известна. В то время, когда я искала что нибудь новое, что заинтересует детей, и поможет мне в моей работе по развитию речи, моя коллега показала мне интересную технику «Умные пальчики». Прочитав во всевозможных источниках большое количество литературы, я принялась за дело. В первую очередь, показала детям сами упражнения. Я чередовала их с простыми пальчиковыми </w:t>
      </w:r>
      <w:r>
        <w:rPr>
          <w:sz w:val="28"/>
        </w:rPr>
        <w:lastRenderedPageBreak/>
        <w:t xml:space="preserve">гимнастиками. Дети кряхтели, высовывали языки, пытаясь управиться со своими руками. Со временем они научились делать не самые сложные упражнения. Это была небольшая победа. Мы начали усложнять наши разминки. И в конце четвертого месяца, упражнения стали даваться большинству детей без особых усилий (что в свою очередь сказалось на произношении). </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Всем известно, что на ладони человека множество точек, отвечающих за органы и болезни человека. Мы же, не стали заглядывать так далеко. В компле</w:t>
      </w:r>
      <w:proofErr w:type="gramStart"/>
      <w:r>
        <w:rPr>
          <w:rFonts w:ascii="Times New Roman" w:hAnsi="Times New Roman" w:cs="Times New Roman"/>
          <w:sz w:val="28"/>
        </w:rPr>
        <w:t>кс к ки</w:t>
      </w:r>
      <w:proofErr w:type="gramEnd"/>
      <w:r>
        <w:rPr>
          <w:rFonts w:ascii="Times New Roman" w:hAnsi="Times New Roman" w:cs="Times New Roman"/>
          <w:sz w:val="28"/>
        </w:rPr>
        <w:t>незиологическим упражнениям мы добавили самомассаж. Начинаем мы, конечно, с самых простых упражнений. Разминаем пальчики, потираем ладошки и кисти. А далее, самое интересное и любимое занятие моих воспитанников. Самомассаж «Колобок», где главный инструмент (у нас в группе) – массажные мячи желтого цвета.</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Всем известно, что сказки сопровождают нас в течени</w:t>
      </w:r>
      <w:proofErr w:type="gramStart"/>
      <w:r>
        <w:rPr>
          <w:rFonts w:ascii="Times New Roman" w:hAnsi="Times New Roman" w:cs="Times New Roman"/>
          <w:sz w:val="28"/>
        </w:rPr>
        <w:t>и</w:t>
      </w:r>
      <w:proofErr w:type="gramEnd"/>
      <w:r>
        <w:rPr>
          <w:rFonts w:ascii="Times New Roman" w:hAnsi="Times New Roman" w:cs="Times New Roman"/>
          <w:sz w:val="28"/>
        </w:rPr>
        <w:t xml:space="preserve"> всей жизни. В детстве мамы читают нам их, чуть повзрослев, мы читаем их сами и верим в существовании чудес. А далее наступает очень ответственное время. Мы должны поддерживать веру в чудеса в детях. Причем не имеет значения, свои дети это, или воспитанники. Но в современной жизни, дети так избалованы «чудесами» из мультфильмов, игр и пр. Становится не так просто увлечь их и заставить их посидеть и послушать сказку, рассказ и что - либо вообще.</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 xml:space="preserve"> И тут мне на помощь пришли упражнения из техники «Умные пальчики». Началось все со сказки «Курочка Ряба». Дети так увлеклись новым «прочтением», что и не заметили как втянулись. Самым главным своим достижением, в этой технике, я считаю, то, что дети стали лучше запоминать сказки. Теперь пересказ для них не проблема. Они с легкостью излагают сказку, конечно, с использование движений. Мне кажется, что их прельщает даже не сама сказка, а то, что можно еще раз повторить все движения (ну или даже прихвастнуть тем, что может сделать эти движения лучше других). Также, то, что заставляет меня гордиться своими воспитанниками, это снижение уровня стеснения при товарищах по группе.</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 xml:space="preserve">Я уверена, со мной согласятся все педагоги. Добиться положительных результатов можно, только в том случае, если будет налажено взаимодействие не только между детьми и педагогами. В любой работе, которая связана с детьми, очень важно активное участие родителей. Придерживаясь этого мнения, я подключила всех родителей к работе. В современном мире, я согласна, уровень загруженности родителей очень высокий. Но в тоже время, я не стала грузить их теорией. Я проделала очень деликатную и постепенную работу. </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lastRenderedPageBreak/>
        <w:t xml:space="preserve"> В начале, я, постепенно изучая технику кинезиологических упражнений, создала заметку «Пальчиковые игры у вас дома» на сайте </w:t>
      </w:r>
      <w:proofErr w:type="spellStart"/>
      <w:r>
        <w:rPr>
          <w:rFonts w:ascii="Times New Roman" w:hAnsi="Times New Roman" w:cs="Times New Roman"/>
          <w:sz w:val="28"/>
          <w:lang w:val="en-US"/>
        </w:rPr>
        <w:t>Maaam</w:t>
      </w:r>
      <w:proofErr w:type="spellEnd"/>
      <w:r w:rsidRPr="0032789F">
        <w:rPr>
          <w:rFonts w:ascii="Times New Roman" w:hAnsi="Times New Roman" w:cs="Times New Roman"/>
          <w:sz w:val="28"/>
        </w:rPr>
        <w:t>.</w:t>
      </w:r>
      <w:proofErr w:type="spellStart"/>
      <w:r>
        <w:rPr>
          <w:rFonts w:ascii="Times New Roman" w:hAnsi="Times New Roman" w:cs="Times New Roman"/>
          <w:sz w:val="28"/>
          <w:lang w:val="en-US"/>
        </w:rPr>
        <w:t>ru</w:t>
      </w:r>
      <w:proofErr w:type="spellEnd"/>
      <w:r>
        <w:rPr>
          <w:rFonts w:ascii="Times New Roman" w:hAnsi="Times New Roman" w:cs="Times New Roman"/>
          <w:sz w:val="28"/>
        </w:rPr>
        <w:t xml:space="preserve"> (где, в начале работы в группе, создала закладку нашей группы). В тоже время, понимая, занятость родителей, и дополнительно согласовав с ними же, я провела Мастер – класс по Кинезиологическим упражнениям. Общаясь с родителями, я поняла, что они в курсе проблемы у своих детей. В начале мастер – класса, я рассказала, что это вообще такое, кинезиологические упражнения, и для чего они вообще нужны. Показала им технику – самомассажа «Колобок», намекнула, что с мячами можно рассказывать не только одну историю. Также показала основные движения из техники «Умные пальчики». Для закрепления результата, я раздала буклеты (по технике «Умные пальчики») «Пальчиковые игры у вас дома». Наибольший интерес, у родителей, вызвали кинезиологические сказки. Они внимательно смотрели и запоминали все движения. </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 xml:space="preserve"> И в завершении нашего мастер – класса, родители признались, что и представить не могли, что в детском саду ведется такая серьезная работа. Также, родители, рассказали мне и о других техниках. Но это я буду осваивать позже. Итоги встречи с родителями на данный момент оставили меня удовлетворенной. </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 xml:space="preserve">На данном этапе работы я не могу сказать, что полученные мной данные окончательные. В процессе работы в данной технике, я периодически делала контрольные замеры. </w:t>
      </w:r>
    </w:p>
    <w:p w:rsidR="008B2B12" w:rsidRDefault="008B2B12" w:rsidP="008B2B12">
      <w:pPr>
        <w:spacing w:after="0"/>
        <w:ind w:firstLine="709"/>
        <w:jc w:val="right"/>
        <w:rPr>
          <w:rFonts w:ascii="Times New Roman" w:hAnsi="Times New Roman" w:cs="Times New Roman"/>
          <w:sz w:val="28"/>
        </w:rPr>
      </w:pPr>
      <w:r>
        <w:rPr>
          <w:rFonts w:ascii="Times New Roman" w:hAnsi="Times New Roman" w:cs="Times New Roman"/>
          <w:sz w:val="28"/>
        </w:rPr>
        <w:t>Результаты за год</w:t>
      </w:r>
      <w:proofErr w:type="gramStart"/>
      <w:r>
        <w:rPr>
          <w:rFonts w:ascii="Times New Roman" w:hAnsi="Times New Roman" w:cs="Times New Roman"/>
          <w:sz w:val="28"/>
        </w:rPr>
        <w:t xml:space="preserve"> (%)</w:t>
      </w:r>
      <w:proofErr w:type="gramEnd"/>
    </w:p>
    <w:p w:rsidR="008B2B12" w:rsidRDefault="008B2B12" w:rsidP="008B2B12">
      <w:pPr>
        <w:spacing w:after="240"/>
        <w:jc w:val="both"/>
        <w:rPr>
          <w:rFonts w:ascii="Times New Roman" w:hAnsi="Times New Roman" w:cs="Times New Roman"/>
          <w:sz w:val="28"/>
        </w:rPr>
      </w:pPr>
      <w:r w:rsidRPr="00A1207F">
        <w:rPr>
          <w:rFonts w:ascii="Times New Roman" w:hAnsi="Times New Roman" w:cs="Times New Roman"/>
          <w:noProof/>
          <w:sz w:val="28"/>
        </w:rPr>
        <w:drawing>
          <wp:inline distT="0" distB="0" distL="0" distR="0">
            <wp:extent cx="5939790" cy="2628736"/>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Times New Roman" w:hAnsi="Times New Roman" w:cs="Times New Roman"/>
          <w:sz w:val="28"/>
        </w:rPr>
        <w:br/>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 xml:space="preserve">Взяв данные за целый год, можно сделать вывод: хороший уровень вырос на 1,5 процента - и теперь это 11 детей из группы: удовлетворительный – на 7 процентов – теперь  - 8 детей: ограниченный – </w:t>
      </w:r>
      <w:r>
        <w:rPr>
          <w:rFonts w:ascii="Times New Roman" w:hAnsi="Times New Roman" w:cs="Times New Roman"/>
          <w:sz w:val="28"/>
        </w:rPr>
        <w:lastRenderedPageBreak/>
        <w:t>снизился на 1 процент – 2 ребенка; не удовлетворительный – снизился на 7 процентов – 1 ребенок. Резкое изменение количества детей с неудовлетворительным уровнем связано с тем, что одного ребенка забрали в другой детский сад (который не говорил на русском языке), а второй – является моей личной гордостью. Третьяков Трофим, 5 лет, переведен в нашу группу из другого детского сада. Уровень развития речи – неудовлетворительный. Речь его было не разобрать с первого раза: западание звуков, и другие речевые дефекты не завали ему спокойно общаться со сверстниками. Работу с ним, по возможности, я проводила индивидуально тоже. Его результаты порадовали не только меня. Родители его, увидев такие результаты, лично консультировались со мной и продолжают вести интенсивную работу по технике «Умные пальчики» и дома.</w:t>
      </w:r>
    </w:p>
    <w:p w:rsidR="008B2B12" w:rsidRDefault="008B2B12" w:rsidP="008B2B12">
      <w:pPr>
        <w:spacing w:after="0"/>
        <w:ind w:firstLine="709"/>
        <w:jc w:val="both"/>
        <w:rPr>
          <w:rFonts w:ascii="Times New Roman" w:hAnsi="Times New Roman" w:cs="Times New Roman"/>
          <w:sz w:val="28"/>
        </w:rPr>
      </w:pPr>
      <w:r>
        <w:rPr>
          <w:rFonts w:ascii="Times New Roman" w:hAnsi="Times New Roman" w:cs="Times New Roman"/>
          <w:sz w:val="28"/>
        </w:rPr>
        <w:t>Мое достижение, это не только проценты и цифры. Это – внятная и правильная речь моих воспитанников, радость от занятий по данной технике, и немая благодарность в глазах родителей. Но работа на этом не останавливается, а успех нашей техники в том, что детям она нравится.</w:t>
      </w:r>
    </w:p>
    <w:p w:rsidR="008B2B12" w:rsidRDefault="008B2B12" w:rsidP="008B2B12">
      <w:pPr>
        <w:spacing w:after="0"/>
        <w:ind w:firstLine="709"/>
        <w:rPr>
          <w:rFonts w:ascii="Times New Roman" w:hAnsi="Times New Roman" w:cs="Times New Roman"/>
          <w:sz w:val="28"/>
        </w:rPr>
      </w:pPr>
    </w:p>
    <w:p w:rsidR="008B2B12" w:rsidRDefault="008B2B12" w:rsidP="008B2B12"/>
    <w:sectPr w:rsidR="008B2B12" w:rsidSect="007A15C7">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FE5" w:rsidRDefault="00707FE5" w:rsidP="00E02F45">
      <w:pPr>
        <w:spacing w:after="0" w:line="240" w:lineRule="auto"/>
      </w:pPr>
      <w:r>
        <w:separator/>
      </w:r>
    </w:p>
  </w:endnote>
  <w:endnote w:type="continuationSeparator" w:id="0">
    <w:p w:rsidR="00707FE5" w:rsidRDefault="00707FE5" w:rsidP="00E02F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9813"/>
      <w:docPartObj>
        <w:docPartGallery w:val="Общ"/>
        <w:docPartUnique/>
      </w:docPartObj>
    </w:sdtPr>
    <w:sdtContent>
      <w:p w:rsidR="00E02F45" w:rsidRDefault="00E02F45">
        <w:pPr>
          <w:pStyle w:val="a9"/>
          <w:jc w:val="center"/>
        </w:pPr>
        <w:fldSimple w:instr=" PAGE   \* MERGEFORMAT ">
          <w:r>
            <w:rPr>
              <w:noProof/>
            </w:rPr>
            <w:t>3</w:t>
          </w:r>
        </w:fldSimple>
      </w:p>
    </w:sdtContent>
  </w:sdt>
  <w:p w:rsidR="00E02F45" w:rsidRDefault="00E02F4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FE5" w:rsidRDefault="00707FE5" w:rsidP="00E02F45">
      <w:pPr>
        <w:spacing w:after="0" w:line="240" w:lineRule="auto"/>
      </w:pPr>
      <w:r>
        <w:separator/>
      </w:r>
    </w:p>
  </w:footnote>
  <w:footnote w:type="continuationSeparator" w:id="0">
    <w:p w:rsidR="00707FE5" w:rsidRDefault="00707FE5" w:rsidP="00E02F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957C68"/>
    <w:multiLevelType w:val="hybridMultilevel"/>
    <w:tmpl w:val="C57A8172"/>
    <w:lvl w:ilvl="0" w:tplc="63286EFE">
      <w:start w:val="1"/>
      <w:numFmt w:val="decimal"/>
      <w:lvlText w:val="%1."/>
      <w:lvlJc w:val="left"/>
      <w:pPr>
        <w:tabs>
          <w:tab w:val="num" w:pos="720"/>
        </w:tabs>
        <w:ind w:left="720" w:hanging="360"/>
      </w:pPr>
      <w:rPr>
        <w:rFonts w:hint="default"/>
        <w:spacing w:val="20"/>
        <w:position w:val="0"/>
      </w:rPr>
    </w:lvl>
    <w:lvl w:ilvl="1" w:tplc="2B8AB00A" w:tentative="1">
      <w:start w:val="1"/>
      <w:numFmt w:val="bullet"/>
      <w:lvlText w:val="o"/>
      <w:lvlJc w:val="left"/>
      <w:pPr>
        <w:tabs>
          <w:tab w:val="num" w:pos="1440"/>
        </w:tabs>
        <w:ind w:left="1440" w:hanging="360"/>
      </w:pPr>
      <w:rPr>
        <w:rFonts w:ascii="Courier New" w:hAnsi="Courier New" w:hint="default"/>
      </w:rPr>
    </w:lvl>
    <w:lvl w:ilvl="2" w:tplc="F6EC4E26" w:tentative="1">
      <w:start w:val="1"/>
      <w:numFmt w:val="bullet"/>
      <w:lvlText w:val="o"/>
      <w:lvlJc w:val="left"/>
      <w:pPr>
        <w:tabs>
          <w:tab w:val="num" w:pos="2160"/>
        </w:tabs>
        <w:ind w:left="2160" w:hanging="360"/>
      </w:pPr>
      <w:rPr>
        <w:rFonts w:ascii="Courier New" w:hAnsi="Courier New" w:hint="default"/>
      </w:rPr>
    </w:lvl>
    <w:lvl w:ilvl="3" w:tplc="6D4EC740" w:tentative="1">
      <w:start w:val="1"/>
      <w:numFmt w:val="bullet"/>
      <w:lvlText w:val="o"/>
      <w:lvlJc w:val="left"/>
      <w:pPr>
        <w:tabs>
          <w:tab w:val="num" w:pos="2880"/>
        </w:tabs>
        <w:ind w:left="2880" w:hanging="360"/>
      </w:pPr>
      <w:rPr>
        <w:rFonts w:ascii="Courier New" w:hAnsi="Courier New" w:hint="default"/>
      </w:rPr>
    </w:lvl>
    <w:lvl w:ilvl="4" w:tplc="95AECF8A" w:tentative="1">
      <w:start w:val="1"/>
      <w:numFmt w:val="bullet"/>
      <w:lvlText w:val="o"/>
      <w:lvlJc w:val="left"/>
      <w:pPr>
        <w:tabs>
          <w:tab w:val="num" w:pos="3600"/>
        </w:tabs>
        <w:ind w:left="3600" w:hanging="360"/>
      </w:pPr>
      <w:rPr>
        <w:rFonts w:ascii="Courier New" w:hAnsi="Courier New" w:hint="default"/>
      </w:rPr>
    </w:lvl>
    <w:lvl w:ilvl="5" w:tplc="5DB8D95A" w:tentative="1">
      <w:start w:val="1"/>
      <w:numFmt w:val="bullet"/>
      <w:lvlText w:val="o"/>
      <w:lvlJc w:val="left"/>
      <w:pPr>
        <w:tabs>
          <w:tab w:val="num" w:pos="4320"/>
        </w:tabs>
        <w:ind w:left="4320" w:hanging="360"/>
      </w:pPr>
      <w:rPr>
        <w:rFonts w:ascii="Courier New" w:hAnsi="Courier New" w:hint="default"/>
      </w:rPr>
    </w:lvl>
    <w:lvl w:ilvl="6" w:tplc="13F0268E" w:tentative="1">
      <w:start w:val="1"/>
      <w:numFmt w:val="bullet"/>
      <w:lvlText w:val="o"/>
      <w:lvlJc w:val="left"/>
      <w:pPr>
        <w:tabs>
          <w:tab w:val="num" w:pos="5040"/>
        </w:tabs>
        <w:ind w:left="5040" w:hanging="360"/>
      </w:pPr>
      <w:rPr>
        <w:rFonts w:ascii="Courier New" w:hAnsi="Courier New" w:hint="default"/>
      </w:rPr>
    </w:lvl>
    <w:lvl w:ilvl="7" w:tplc="88EC3DAE" w:tentative="1">
      <w:start w:val="1"/>
      <w:numFmt w:val="bullet"/>
      <w:lvlText w:val="o"/>
      <w:lvlJc w:val="left"/>
      <w:pPr>
        <w:tabs>
          <w:tab w:val="num" w:pos="5760"/>
        </w:tabs>
        <w:ind w:left="5760" w:hanging="360"/>
      </w:pPr>
      <w:rPr>
        <w:rFonts w:ascii="Courier New" w:hAnsi="Courier New" w:hint="default"/>
      </w:rPr>
    </w:lvl>
    <w:lvl w:ilvl="8" w:tplc="9168C3AA" w:tentative="1">
      <w:start w:val="1"/>
      <w:numFmt w:val="bullet"/>
      <w:lvlText w:val="o"/>
      <w:lvlJc w:val="left"/>
      <w:pPr>
        <w:tabs>
          <w:tab w:val="num" w:pos="6480"/>
        </w:tabs>
        <w:ind w:left="6480" w:hanging="360"/>
      </w:pPr>
      <w:rPr>
        <w:rFonts w:ascii="Courier New" w:hAnsi="Courier New"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8B2B12"/>
    <w:rsid w:val="0053168D"/>
    <w:rsid w:val="00707FE5"/>
    <w:rsid w:val="007A15C7"/>
    <w:rsid w:val="008B2B12"/>
    <w:rsid w:val="00E02F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B1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2B12"/>
    <w:pPr>
      <w:ind w:left="720"/>
      <w:contextualSpacing/>
    </w:pPr>
  </w:style>
  <w:style w:type="paragraph" w:styleId="a4">
    <w:name w:val="Balloon Text"/>
    <w:basedOn w:val="a"/>
    <w:link w:val="a5"/>
    <w:uiPriority w:val="99"/>
    <w:semiHidden/>
    <w:unhideWhenUsed/>
    <w:rsid w:val="008B2B1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B2B12"/>
    <w:rPr>
      <w:rFonts w:ascii="Tahoma" w:eastAsiaTheme="minorEastAsia" w:hAnsi="Tahoma" w:cs="Tahoma"/>
      <w:sz w:val="16"/>
      <w:szCs w:val="16"/>
      <w:lang w:eastAsia="ru-RU"/>
    </w:rPr>
  </w:style>
  <w:style w:type="paragraph" w:styleId="a6">
    <w:name w:val="Normal (Web)"/>
    <w:basedOn w:val="a"/>
    <w:uiPriority w:val="99"/>
    <w:unhideWhenUsed/>
    <w:rsid w:val="008B2B12"/>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semiHidden/>
    <w:unhideWhenUsed/>
    <w:rsid w:val="00E02F4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02F45"/>
    <w:rPr>
      <w:rFonts w:eastAsiaTheme="minorEastAsia"/>
      <w:lang w:eastAsia="ru-RU"/>
    </w:rPr>
  </w:style>
  <w:style w:type="paragraph" w:styleId="a9">
    <w:name w:val="footer"/>
    <w:basedOn w:val="a"/>
    <w:link w:val="aa"/>
    <w:uiPriority w:val="99"/>
    <w:unhideWhenUsed/>
    <w:rsid w:val="00E02F4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02F45"/>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ofPieChart>
        <c:ofPieType val="bar"/>
        <c:varyColors val="1"/>
        <c:ser>
          <c:idx val="0"/>
          <c:order val="0"/>
          <c:tx>
            <c:strRef>
              <c:f>Лист1!$B$1</c:f>
              <c:strCache>
                <c:ptCount val="1"/>
                <c:pt idx="0">
                  <c:v>Уровень речевого развития детей 4-7 лет </c:v>
                </c:pt>
              </c:strCache>
            </c:strRef>
          </c:tx>
          <c:dPt>
            <c:idx val="0"/>
            <c:spPr>
              <a:solidFill>
                <a:schemeClr val="accent1"/>
              </a:solidFill>
              <a:ln>
                <a:noFill/>
              </a:ln>
              <a:effectLst>
                <a:outerShdw blurRad="254000" sx="102000" sy="102000" algn="ctr" rotWithShape="0">
                  <a:prstClr val="black">
                    <a:alpha val="20000"/>
                  </a:prstClr>
                </a:outerShdw>
              </a:effectLst>
            </c:spPr>
          </c:dPt>
          <c:dPt>
            <c:idx val="1"/>
            <c:spPr>
              <a:solidFill>
                <a:schemeClr val="accent2"/>
              </a:solidFill>
              <a:ln>
                <a:noFill/>
              </a:ln>
              <a:effectLst>
                <a:outerShdw blurRad="254000" sx="102000" sy="102000" algn="ctr" rotWithShape="0">
                  <a:prstClr val="black">
                    <a:alpha val="20000"/>
                  </a:prstClr>
                </a:outerShdw>
              </a:effectLst>
            </c:spPr>
          </c:dPt>
          <c:dPt>
            <c:idx val="2"/>
            <c:spPr>
              <a:solidFill>
                <a:schemeClr val="accent3"/>
              </a:solidFill>
              <a:ln>
                <a:noFill/>
              </a:ln>
              <a:effectLst>
                <a:outerShdw blurRad="254000" sx="102000" sy="102000" algn="ctr" rotWithShape="0">
                  <a:prstClr val="black">
                    <a:alpha val="20000"/>
                  </a:prstClr>
                </a:outerShdw>
              </a:effectLst>
            </c:spPr>
          </c:dPt>
          <c:dPt>
            <c:idx val="3"/>
            <c:spPr>
              <a:solidFill>
                <a:schemeClr val="accent4"/>
              </a:solidFill>
              <a:ln>
                <a:noFill/>
              </a:ln>
              <a:effectLst>
                <a:outerShdw blurRad="254000" sx="102000" sy="102000" algn="ctr" rotWithShape="0">
                  <a:prstClr val="black">
                    <a:alpha val="20000"/>
                  </a:prstClr>
                </a:outerShdw>
              </a:effectLst>
            </c:spPr>
          </c:dPt>
          <c:dPt>
            <c:idx val="4"/>
            <c:spPr>
              <a:solidFill>
                <a:schemeClr val="accent5"/>
              </a:solidFill>
              <a:ln>
                <a:noFill/>
              </a:ln>
              <a:effectLst>
                <a:outerShdw blurRad="254000" sx="102000" sy="102000" algn="ctr" rotWithShape="0">
                  <a:prstClr val="black">
                    <a:alpha val="20000"/>
                  </a:prstClr>
                </a:outerShdw>
              </a:effectLst>
            </c:spPr>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330" b="1" i="0" u="none" strike="noStrike" kern="1200" baseline="0">
                    <a:solidFill>
                      <a:schemeClr val="lt1"/>
                    </a:solidFill>
                    <a:latin typeface="+mn-lt"/>
                    <a:ea typeface="+mn-ea"/>
                    <a:cs typeface="+mn-cs"/>
                  </a:defRPr>
                </a:pPr>
                <a:endParaRPr lang="ru-RU"/>
              </a:p>
            </c:txPr>
            <c:dLblPos val="ctr"/>
            <c:showPercent val="1"/>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Хороший</c:v>
                </c:pt>
                <c:pt idx="1">
                  <c:v>Удовлетворительный</c:v>
                </c:pt>
                <c:pt idx="2">
                  <c:v>Ограниченный</c:v>
                </c:pt>
                <c:pt idx="3">
                  <c:v>Не удовлетворительный</c:v>
                </c:pt>
              </c:strCache>
            </c:strRef>
          </c:cat>
          <c:val>
            <c:numRef>
              <c:f>Лист1!$B$2:$B$5</c:f>
              <c:numCache>
                <c:formatCode>General</c:formatCode>
                <c:ptCount val="4"/>
                <c:pt idx="0">
                  <c:v>43</c:v>
                </c:pt>
                <c:pt idx="1">
                  <c:v>33.800000000000004</c:v>
                </c:pt>
                <c:pt idx="2">
                  <c:v>14</c:v>
                </c:pt>
                <c:pt idx="3">
                  <c:v>9.2000000000000011</c:v>
                </c:pt>
              </c:numCache>
            </c:numRef>
          </c:val>
        </c:ser>
        <c:dLbls>
          <c:showPercent val="1"/>
        </c:dLbls>
        <c:gapWidth val="100"/>
        <c:secondPieSize val="75"/>
        <c:serLines>
          <c:spPr>
            <a:ln w="9525">
              <a:solidFill>
                <a:schemeClr val="dk1">
                  <a:lumMod val="50000"/>
                  <a:lumOff val="50000"/>
                </a:schemeClr>
              </a:solidFill>
              <a:round/>
            </a:ln>
            <a:effectLst/>
          </c:spPr>
        </c:serLines>
      </c:ofPieChart>
      <c:spPr>
        <a:noFill/>
        <a:ln>
          <a:noFill/>
        </a:ln>
        <a:effectLst/>
      </c:spPr>
    </c:plotArea>
    <c:legend>
      <c:legendPos val="r"/>
      <c:spPr>
        <a:solidFill>
          <a:schemeClr val="lt1">
            <a:lumMod val="95000"/>
            <a:alpha val="39000"/>
          </a:schemeClr>
        </a:solidFill>
        <a:ln>
          <a:noFill/>
        </a:ln>
        <a:effectLst/>
      </c:spPr>
      <c:txPr>
        <a:bodyPr rot="0" spcFirstLastPara="1" vertOverflow="ellipsis" vert="horz" wrap="square" anchor="ctr" anchorCtr="1"/>
        <a:lstStyle/>
        <a:p>
          <a:pPr>
            <a:defRPr sz="1197" b="0" i="0" u="none" strike="noStrike" kern="1200" baseline="0">
              <a:solidFill>
                <a:schemeClr val="dk1">
                  <a:lumMod val="75000"/>
                  <a:lumOff val="25000"/>
                </a:schemeClr>
              </a:solidFill>
              <a:latin typeface="+mn-lt"/>
              <a:ea typeface="+mn-ea"/>
              <a:cs typeface="+mn-cs"/>
            </a:defRPr>
          </a:pPr>
          <a:endParaRPr lang="ru-RU"/>
        </a:p>
      </c:txPr>
    </c:legend>
    <c:plotVisOnly val="1"/>
    <c:dispBlanksAs val="zero"/>
  </c:chart>
  <c:spPr>
    <a:noFill/>
    <a:ln w="9525" cap="flat" cmpd="sng" algn="ctr">
      <a:no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ofPieChart>
        <c:ofPieType val="bar"/>
        <c:varyColors val="1"/>
        <c:ser>
          <c:idx val="0"/>
          <c:order val="0"/>
          <c:tx>
            <c:strRef>
              <c:f>Лист1!$B$1</c:f>
              <c:strCache>
                <c:ptCount val="1"/>
                <c:pt idx="0">
                  <c:v>Уровень развития речи в группе</c:v>
                </c:pt>
              </c:strCache>
            </c:strRef>
          </c:tx>
          <c:explosion val="22"/>
          <c:dPt>
            <c:idx val="0"/>
            <c:spPr>
              <a:solidFill>
                <a:schemeClr val="accent1"/>
              </a:solidFill>
              <a:ln>
                <a:noFill/>
              </a:ln>
              <a:effectLst/>
              <a:scene3d>
                <a:camera prst="orthographicFront"/>
                <a:lightRig rig="brightRoom" dir="t"/>
              </a:scene3d>
              <a:sp3d prstMaterial="flat">
                <a:bevelT w="50800" h="101600" prst="angle"/>
                <a:contourClr>
                  <a:srgbClr val="000000"/>
                </a:contourClr>
              </a:sp3d>
            </c:spPr>
          </c:dPt>
          <c:dPt>
            <c:idx val="1"/>
            <c:spPr>
              <a:solidFill>
                <a:schemeClr val="accent2"/>
              </a:solidFill>
              <a:ln>
                <a:noFill/>
              </a:ln>
              <a:effectLst/>
              <a:scene3d>
                <a:camera prst="orthographicFront"/>
                <a:lightRig rig="brightRoom" dir="t"/>
              </a:scene3d>
              <a:sp3d prstMaterial="flat">
                <a:bevelT w="50800" h="101600" prst="angle"/>
                <a:contourClr>
                  <a:srgbClr val="000000"/>
                </a:contourClr>
              </a:sp3d>
            </c:spPr>
          </c:dPt>
          <c:dPt>
            <c:idx val="2"/>
            <c:spPr>
              <a:solidFill>
                <a:schemeClr val="accent3"/>
              </a:solidFill>
              <a:ln>
                <a:noFill/>
              </a:ln>
              <a:effectLst/>
              <a:scene3d>
                <a:camera prst="orthographicFront"/>
                <a:lightRig rig="brightRoom" dir="t"/>
              </a:scene3d>
              <a:sp3d prstMaterial="flat">
                <a:bevelT w="50800" h="101600" prst="angle"/>
                <a:contourClr>
                  <a:srgbClr val="000000"/>
                </a:contourClr>
              </a:sp3d>
            </c:spPr>
          </c:dPt>
          <c:dPt>
            <c:idx val="3"/>
            <c:spPr>
              <a:solidFill>
                <a:schemeClr val="accent4"/>
              </a:solidFill>
              <a:ln>
                <a:noFill/>
              </a:ln>
              <a:effectLst/>
              <a:scene3d>
                <a:camera prst="orthographicFront"/>
                <a:lightRig rig="brightRoom" dir="t"/>
              </a:scene3d>
              <a:sp3d prstMaterial="flat">
                <a:bevelT w="50800" h="101600" prst="angle"/>
                <a:contourClr>
                  <a:srgbClr val="000000"/>
                </a:contourClr>
              </a:sp3d>
            </c:spPr>
          </c:dPt>
          <c:dLbls>
            <c:spPr>
              <a:noFill/>
              <a:ln>
                <a:noFill/>
              </a:ln>
              <a:effectLst/>
            </c:spPr>
            <c:txPr>
              <a:bodyPr rot="0" spcFirstLastPara="1" vertOverflow="ellipsis" vert="horz" wrap="square" lIns="38100" tIns="19050" rIns="38100" bIns="19050" anchor="ctr" anchorCtr="1">
                <a:spAutoFit/>
              </a:bodyPr>
              <a:lstStyle/>
              <a:p>
                <a:pPr>
                  <a:defRPr sz="1197" b="1" i="0" u="none" strike="noStrike" kern="1200" baseline="0">
                    <a:solidFill>
                      <a:schemeClr val="lt1"/>
                    </a:solidFill>
                    <a:latin typeface="+mn-lt"/>
                    <a:ea typeface="+mn-ea"/>
                    <a:cs typeface="+mn-cs"/>
                  </a:defRPr>
                </a:pPr>
                <a:endParaRPr lang="ru-RU"/>
              </a:p>
            </c:txPr>
            <c:dLblPos val="inEnd"/>
            <c:showPercent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Хороший</c:v>
                </c:pt>
                <c:pt idx="1">
                  <c:v>Удовлетворительный</c:v>
                </c:pt>
                <c:pt idx="2">
                  <c:v>Ограниченный</c:v>
                </c:pt>
                <c:pt idx="3">
                  <c:v>Не удовлетворительный</c:v>
                </c:pt>
              </c:strCache>
            </c:strRef>
          </c:cat>
          <c:val>
            <c:numRef>
              <c:f>Лист1!$B$2:$B$5</c:f>
              <c:numCache>
                <c:formatCode>General</c:formatCode>
                <c:ptCount val="4"/>
                <c:pt idx="0">
                  <c:v>40.9</c:v>
                </c:pt>
                <c:pt idx="1">
                  <c:v>27.3</c:v>
                </c:pt>
                <c:pt idx="2">
                  <c:v>18.2</c:v>
                </c:pt>
                <c:pt idx="3">
                  <c:v>13.6</c:v>
                </c:pt>
              </c:numCache>
            </c:numRef>
          </c:val>
        </c:ser>
        <c:dLbls>
          <c:showPercent val="1"/>
        </c:dLbls>
        <c:gapWidth val="100"/>
        <c:secondPieSize val="75"/>
        <c:serLines/>
      </c:ofPieChart>
      <c:spPr>
        <a:noFill/>
        <a:ln>
          <a:noFill/>
        </a:ln>
        <a:effectLst/>
      </c:spPr>
    </c:plotArea>
    <c:legend>
      <c:legendPos val="r"/>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zero"/>
  </c:chart>
  <c:spPr>
    <a:noFill/>
    <a:ln>
      <a:noFill/>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Хороший</c:v>
                </c:pt>
              </c:strCache>
            </c:strRef>
          </c:tx>
          <c:spPr>
            <a:solidFill>
              <a:schemeClr val="accent1">
                <a:tint val="70000"/>
                <a:lumMod val="104000"/>
              </a:schemeClr>
            </a:solidFill>
            <a:ln w="9525" cap="flat" cmpd="sng" algn="ctr">
              <a:solidFill>
                <a:schemeClr val="accent1">
                  <a:shade val="95000"/>
                </a:schemeClr>
              </a:solidFill>
              <a:round/>
            </a:ln>
            <a:effectLst/>
          </c:spPr>
          <c:cat>
            <c:strRef>
              <c:f>Лист1!$A$2:$A$5</c:f>
              <c:strCache>
                <c:ptCount val="4"/>
                <c:pt idx="0">
                  <c:v>Исходные данные октябрь 2013</c:v>
                </c:pt>
                <c:pt idx="1">
                  <c:v>Контроль декабрь 2013</c:v>
                </c:pt>
                <c:pt idx="2">
                  <c:v>Контроль март 2014</c:v>
                </c:pt>
                <c:pt idx="3">
                  <c:v>контроль сентябрь 2014</c:v>
                </c:pt>
              </c:strCache>
            </c:strRef>
          </c:cat>
          <c:val>
            <c:numRef>
              <c:f>Лист1!$B$2:$B$5</c:f>
              <c:numCache>
                <c:formatCode>General</c:formatCode>
                <c:ptCount val="4"/>
                <c:pt idx="0">
                  <c:v>40.9</c:v>
                </c:pt>
                <c:pt idx="1">
                  <c:v>41.9</c:v>
                </c:pt>
                <c:pt idx="2">
                  <c:v>42.2</c:v>
                </c:pt>
                <c:pt idx="3">
                  <c:v>42.2</c:v>
                </c:pt>
              </c:numCache>
            </c:numRef>
          </c:val>
        </c:ser>
        <c:ser>
          <c:idx val="1"/>
          <c:order val="1"/>
          <c:tx>
            <c:strRef>
              <c:f>Лист1!$C$1</c:f>
              <c:strCache>
                <c:ptCount val="1"/>
                <c:pt idx="0">
                  <c:v>Удовлетворительный</c:v>
                </c:pt>
              </c:strCache>
            </c:strRef>
          </c:tx>
          <c:spPr>
            <a:solidFill>
              <a:schemeClr val="accent2">
                <a:tint val="70000"/>
                <a:lumMod val="104000"/>
              </a:schemeClr>
            </a:solidFill>
            <a:ln w="9525" cap="flat" cmpd="sng" algn="ctr">
              <a:solidFill>
                <a:schemeClr val="accent2">
                  <a:shade val="95000"/>
                </a:schemeClr>
              </a:solidFill>
              <a:round/>
            </a:ln>
            <a:effectLst/>
          </c:spPr>
          <c:cat>
            <c:strRef>
              <c:f>Лист1!$A$2:$A$5</c:f>
              <c:strCache>
                <c:ptCount val="4"/>
                <c:pt idx="0">
                  <c:v>Исходные данные октябрь 2013</c:v>
                </c:pt>
                <c:pt idx="1">
                  <c:v>Контроль декабрь 2013</c:v>
                </c:pt>
                <c:pt idx="2">
                  <c:v>Контроль март 2014</c:v>
                </c:pt>
                <c:pt idx="3">
                  <c:v>контроль сентябрь 2014</c:v>
                </c:pt>
              </c:strCache>
            </c:strRef>
          </c:cat>
          <c:val>
            <c:numRef>
              <c:f>Лист1!$C$2:$C$5</c:f>
              <c:numCache>
                <c:formatCode>General</c:formatCode>
                <c:ptCount val="4"/>
                <c:pt idx="0">
                  <c:v>27.3</c:v>
                </c:pt>
                <c:pt idx="1">
                  <c:v>31.3</c:v>
                </c:pt>
                <c:pt idx="2">
                  <c:v>33.5</c:v>
                </c:pt>
                <c:pt idx="3">
                  <c:v>33.700000000000003</c:v>
                </c:pt>
              </c:numCache>
            </c:numRef>
          </c:val>
        </c:ser>
        <c:ser>
          <c:idx val="2"/>
          <c:order val="2"/>
          <c:tx>
            <c:strRef>
              <c:f>Лист1!$D$1</c:f>
              <c:strCache>
                <c:ptCount val="1"/>
                <c:pt idx="0">
                  <c:v>Ограниченный</c:v>
                </c:pt>
              </c:strCache>
            </c:strRef>
          </c:tx>
          <c:spPr>
            <a:solidFill>
              <a:schemeClr val="accent3">
                <a:tint val="70000"/>
                <a:lumMod val="104000"/>
              </a:schemeClr>
            </a:solidFill>
            <a:ln w="9525" cap="flat" cmpd="sng" algn="ctr">
              <a:solidFill>
                <a:schemeClr val="accent3">
                  <a:shade val="95000"/>
                </a:schemeClr>
              </a:solidFill>
              <a:round/>
            </a:ln>
            <a:effectLst/>
          </c:spPr>
          <c:cat>
            <c:strRef>
              <c:f>Лист1!$A$2:$A$5</c:f>
              <c:strCache>
                <c:ptCount val="4"/>
                <c:pt idx="0">
                  <c:v>Исходные данные октябрь 2013</c:v>
                </c:pt>
                <c:pt idx="1">
                  <c:v>Контроль декабрь 2013</c:v>
                </c:pt>
                <c:pt idx="2">
                  <c:v>Контроль март 2014</c:v>
                </c:pt>
                <c:pt idx="3">
                  <c:v>контроль сентябрь 2014</c:v>
                </c:pt>
              </c:strCache>
            </c:strRef>
          </c:cat>
          <c:val>
            <c:numRef>
              <c:f>Лист1!$D$2:$D$5</c:f>
              <c:numCache>
                <c:formatCode>General</c:formatCode>
                <c:ptCount val="4"/>
                <c:pt idx="0">
                  <c:v>18.2</c:v>
                </c:pt>
                <c:pt idx="1">
                  <c:v>15.2</c:v>
                </c:pt>
                <c:pt idx="2">
                  <c:v>13.7</c:v>
                </c:pt>
                <c:pt idx="3">
                  <c:v>17.2</c:v>
                </c:pt>
              </c:numCache>
            </c:numRef>
          </c:val>
        </c:ser>
        <c:ser>
          <c:idx val="3"/>
          <c:order val="3"/>
          <c:tx>
            <c:strRef>
              <c:f>Лист1!$E$1</c:f>
              <c:strCache>
                <c:ptCount val="1"/>
                <c:pt idx="0">
                  <c:v>Не удовлетворительный</c:v>
                </c:pt>
              </c:strCache>
            </c:strRef>
          </c:tx>
          <c:spPr>
            <a:solidFill>
              <a:schemeClr val="accent4">
                <a:tint val="70000"/>
                <a:lumMod val="104000"/>
              </a:schemeClr>
            </a:solidFill>
            <a:ln w="9525" cap="flat" cmpd="sng" algn="ctr">
              <a:solidFill>
                <a:schemeClr val="accent4">
                  <a:shade val="95000"/>
                </a:schemeClr>
              </a:solidFill>
              <a:round/>
            </a:ln>
            <a:effectLst/>
          </c:spPr>
          <c:cat>
            <c:strRef>
              <c:f>Лист1!$A$2:$A$5</c:f>
              <c:strCache>
                <c:ptCount val="4"/>
                <c:pt idx="0">
                  <c:v>Исходные данные октябрь 2013</c:v>
                </c:pt>
                <c:pt idx="1">
                  <c:v>Контроль декабрь 2013</c:v>
                </c:pt>
                <c:pt idx="2">
                  <c:v>Контроль март 2014</c:v>
                </c:pt>
                <c:pt idx="3">
                  <c:v>контроль сентябрь 2014</c:v>
                </c:pt>
              </c:strCache>
            </c:strRef>
          </c:cat>
          <c:val>
            <c:numRef>
              <c:f>Лист1!$E$2:$E$5</c:f>
              <c:numCache>
                <c:formatCode>General</c:formatCode>
                <c:ptCount val="4"/>
                <c:pt idx="0">
                  <c:v>13.6</c:v>
                </c:pt>
                <c:pt idx="1">
                  <c:v>11.6</c:v>
                </c:pt>
                <c:pt idx="2">
                  <c:v>10.6</c:v>
                </c:pt>
                <c:pt idx="3">
                  <c:v>6.9</c:v>
                </c:pt>
              </c:numCache>
            </c:numRef>
          </c:val>
        </c:ser>
        <c:axId val="102152064"/>
        <c:axId val="102153600"/>
      </c:barChart>
      <c:catAx>
        <c:axId val="102152064"/>
        <c:scaling>
          <c:orientation val="minMax"/>
        </c:scaling>
        <c:axPos val="l"/>
        <c:numFmt formatCode="General" sourceLinked="1"/>
        <c:maj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50000"/>
                    <a:lumOff val="50000"/>
                  </a:schemeClr>
                </a:solidFill>
                <a:latin typeface="+mn-lt"/>
                <a:ea typeface="+mn-ea"/>
                <a:cs typeface="+mn-cs"/>
              </a:defRPr>
            </a:pPr>
            <a:endParaRPr lang="ru-RU"/>
          </a:p>
        </c:txPr>
        <c:crossAx val="102153600"/>
        <c:crosses val="autoZero"/>
        <c:auto val="1"/>
        <c:lblAlgn val="ctr"/>
        <c:lblOffset val="100"/>
      </c:catAx>
      <c:valAx>
        <c:axId val="102153600"/>
        <c:scaling>
          <c:orientation val="minMax"/>
        </c:scaling>
        <c:axPos val="b"/>
        <c:majorGridlines>
          <c:spPr>
            <a:ln w="9525" cap="flat" cmpd="sng" algn="ctr">
              <a:solidFill>
                <a:schemeClr val="tx1">
                  <a:lumMod val="15000"/>
                  <a:lumOff val="85000"/>
                </a:schemeClr>
              </a:solidFill>
              <a:round/>
            </a:ln>
            <a:effectLst/>
          </c:spPr>
        </c:majorGridlines>
        <c:minorGridlines/>
        <c:numFmt formatCode="General" sourceLinked="1"/>
        <c:maj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50000"/>
                    <a:lumOff val="50000"/>
                  </a:schemeClr>
                </a:solidFill>
                <a:latin typeface="+mn-lt"/>
                <a:ea typeface="+mn-ea"/>
                <a:cs typeface="+mn-cs"/>
              </a:defRPr>
            </a:pPr>
            <a:endParaRPr lang="ru-RU"/>
          </a:p>
        </c:txPr>
        <c:crossAx val="102152064"/>
        <c:crosses val="autoZero"/>
        <c:crossBetween val="between"/>
      </c:valAx>
      <c:spPr>
        <a:noFill/>
        <a:ln>
          <a:noFill/>
        </a:ln>
        <a:effectLst/>
      </c:spPr>
    </c:plotArea>
    <c:legend>
      <c:legendPos val="r"/>
      <c:spPr>
        <a:noFill/>
        <a:ln>
          <a:noFill/>
        </a:ln>
        <a:effectLst/>
      </c:spPr>
      <c:txPr>
        <a:bodyPr rot="0" spcFirstLastPara="1" vertOverflow="ellipsis" vert="horz" wrap="square" anchor="ctr" anchorCtr="1"/>
        <a:lstStyle/>
        <a:p>
          <a:pPr>
            <a:defRPr sz="1197" b="0" i="0" u="none" strike="noStrike" kern="1200" baseline="0">
              <a:solidFill>
                <a:schemeClr val="tx1">
                  <a:lumMod val="50000"/>
                  <a:lumOff val="50000"/>
                </a:schemeClr>
              </a:solidFill>
              <a:latin typeface="+mn-lt"/>
              <a:ea typeface="+mn-ea"/>
              <a:cs typeface="+mn-cs"/>
            </a:defRPr>
          </a:pPr>
          <a:endParaRPr lang="ru-RU"/>
        </a:p>
      </c:txPr>
    </c:legend>
    <c:plotVisOnly val="1"/>
    <c:dispBlanksAs val="gap"/>
  </c:chart>
  <c:spPr>
    <a:noFill/>
    <a:ln>
      <a:noFill/>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1440</Words>
  <Characters>8208</Characters>
  <Application>Microsoft Office Word</Application>
  <DocSecurity>0</DocSecurity>
  <Lines>68</Lines>
  <Paragraphs>19</Paragraphs>
  <ScaleCrop>false</ScaleCrop>
  <Company/>
  <LinksUpToDate>false</LinksUpToDate>
  <CharactersWithSpaces>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2015-05-24T10:47:00Z</dcterms:created>
  <dcterms:modified xsi:type="dcterms:W3CDTF">2015-05-24T11:03:00Z</dcterms:modified>
</cp:coreProperties>
</file>