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УТВЕРЖДАЮ:</w:t>
      </w:r>
    </w:p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Директор МБОУ СОШ №141</w:t>
      </w:r>
    </w:p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углублённым изучением математики</w:t>
      </w:r>
    </w:p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О.Ю. Жукова</w:t>
      </w:r>
    </w:p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</w:t>
      </w:r>
    </w:p>
    <w:p w:rsidR="003739F5" w:rsidRPr="00756E35" w:rsidRDefault="003739F5" w:rsidP="00756E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6E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«______»________20____г.</w:t>
      </w: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ПСИХОЛОГО-ПЕДАГОГИЧЕСКИЕ УСЛОВИЯ ПРОФИЛАКТИКИ ДЕВИ</w:t>
      </w:r>
      <w:r w:rsidR="00D8002F" w:rsidRPr="00756E35">
        <w:rPr>
          <w:rFonts w:ascii="Times New Roman" w:hAnsi="Times New Roman" w:cs="Times New Roman"/>
          <w:b/>
          <w:sz w:val="24"/>
          <w:szCs w:val="24"/>
        </w:rPr>
        <w:t>АНТНОГО ПОВЕДНЕИЯ СРЕДИ УЧАЩИХСЯ ПОДРОСТКОВОГО ВОЗРАСТА</w:t>
      </w:r>
      <w:r w:rsidRPr="00756E35">
        <w:rPr>
          <w:rFonts w:ascii="Times New Roman" w:hAnsi="Times New Roman" w:cs="Times New Roman"/>
          <w:b/>
          <w:sz w:val="24"/>
          <w:szCs w:val="24"/>
        </w:rPr>
        <w:t xml:space="preserve"> ОБРАЗОВАТЕЛЬНОГО УЧРЕЖДЕНИЯ</w:t>
      </w: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Автор: </w:t>
      </w:r>
    </w:p>
    <w:p w:rsidR="00876FD1" w:rsidRPr="00756E35" w:rsidRDefault="00876FD1" w:rsidP="00756E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Ревкова Наталья Владимировна</w:t>
      </w:r>
    </w:p>
    <w:p w:rsidR="00876FD1" w:rsidRPr="00756E35" w:rsidRDefault="00876FD1" w:rsidP="00756E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Педагог-психолог МБОУ СОШ №141 </w:t>
      </w:r>
    </w:p>
    <w:p w:rsidR="00876FD1" w:rsidRPr="00756E35" w:rsidRDefault="00876FD1" w:rsidP="00756E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с углублённым изучением математики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F7B" w:rsidRPr="00756E35" w:rsidRDefault="00ED5F7B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D1" w:rsidRPr="00756E35" w:rsidRDefault="00876FD1" w:rsidP="00756E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Новосибирск 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Номинация:</w:t>
      </w:r>
      <w:r w:rsidRPr="00756E35">
        <w:rPr>
          <w:rFonts w:ascii="Times New Roman" w:hAnsi="Times New Roman" w:cs="Times New Roman"/>
          <w:sz w:val="24"/>
          <w:szCs w:val="24"/>
        </w:rPr>
        <w:t xml:space="preserve"> Социализация и развитие личности школьника»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Автор проекта:</w:t>
      </w:r>
      <w:r w:rsidRPr="00756E35">
        <w:rPr>
          <w:rFonts w:ascii="Times New Roman" w:hAnsi="Times New Roman" w:cs="Times New Roman"/>
          <w:sz w:val="24"/>
          <w:szCs w:val="24"/>
        </w:rPr>
        <w:t xml:space="preserve"> Ревкова Наталья Владимировна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Место работы:</w:t>
      </w:r>
      <w:r w:rsidRPr="00756E35">
        <w:rPr>
          <w:rFonts w:ascii="Times New Roman" w:hAnsi="Times New Roman" w:cs="Times New Roman"/>
          <w:sz w:val="24"/>
          <w:szCs w:val="24"/>
        </w:rPr>
        <w:t xml:space="preserve"> МБОУ СОШ №141 с углубленным изучением математики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Должность:</w:t>
      </w:r>
      <w:r w:rsidRPr="00756E35">
        <w:rPr>
          <w:rFonts w:ascii="Times New Roman" w:hAnsi="Times New Roman" w:cs="Times New Roman"/>
          <w:sz w:val="24"/>
          <w:szCs w:val="24"/>
        </w:rPr>
        <w:t xml:space="preserve"> педагог-психолог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Почтовый адрес:</w:t>
      </w:r>
      <w:r w:rsidRPr="00756E35">
        <w:rPr>
          <w:rFonts w:ascii="Times New Roman" w:hAnsi="Times New Roman" w:cs="Times New Roman"/>
          <w:sz w:val="24"/>
          <w:szCs w:val="24"/>
        </w:rPr>
        <w:t xml:space="preserve"> 630068 г. Новосибирск, ул. Пришвина д. 3.</w:t>
      </w:r>
    </w:p>
    <w:p w:rsidR="00876FD1" w:rsidRPr="00756E35" w:rsidRDefault="00876FD1" w:rsidP="00756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Контактный телефон:</w:t>
      </w:r>
      <w:r w:rsidRPr="00756E35">
        <w:rPr>
          <w:rFonts w:ascii="Times New Roman" w:hAnsi="Times New Roman" w:cs="Times New Roman"/>
          <w:sz w:val="24"/>
          <w:szCs w:val="24"/>
        </w:rPr>
        <w:t xml:space="preserve"> 3-388-651, 8-913-911-69-94, </w:t>
      </w:r>
      <w:r w:rsidRPr="00756E35">
        <w:rPr>
          <w:rFonts w:ascii="Times New Roman" w:hAnsi="Times New Roman" w:cs="Times New Roman"/>
          <w:sz w:val="24"/>
          <w:szCs w:val="24"/>
          <w:lang w:val="en-US"/>
        </w:rPr>
        <w:t>revkova</w:t>
      </w:r>
      <w:r w:rsidRPr="00756E35">
        <w:rPr>
          <w:rFonts w:ascii="Times New Roman" w:hAnsi="Times New Roman" w:cs="Times New Roman"/>
          <w:sz w:val="24"/>
          <w:szCs w:val="24"/>
        </w:rPr>
        <w:t>_</w:t>
      </w:r>
      <w:r w:rsidRPr="00756E35">
        <w:rPr>
          <w:rFonts w:ascii="Times New Roman" w:hAnsi="Times New Roman" w:cs="Times New Roman"/>
          <w:sz w:val="24"/>
          <w:szCs w:val="24"/>
          <w:lang w:val="en-US"/>
        </w:rPr>
        <w:t>natalya</w:t>
      </w:r>
      <w:r w:rsidRPr="00756E35">
        <w:rPr>
          <w:rFonts w:ascii="Times New Roman" w:hAnsi="Times New Roman" w:cs="Times New Roman"/>
          <w:sz w:val="24"/>
          <w:szCs w:val="24"/>
        </w:rPr>
        <w:t>@</w:t>
      </w:r>
      <w:r w:rsidRPr="00756E3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56E35">
        <w:rPr>
          <w:rFonts w:ascii="Times New Roman" w:hAnsi="Times New Roman" w:cs="Times New Roman"/>
          <w:sz w:val="24"/>
          <w:szCs w:val="24"/>
        </w:rPr>
        <w:t>.</w:t>
      </w:r>
      <w:r w:rsidRPr="00756E35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76FD1" w:rsidRPr="00756E35" w:rsidRDefault="00876FD1" w:rsidP="00756E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002F" w:rsidRPr="00756E35" w:rsidRDefault="00D8002F" w:rsidP="00756E3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Актуальность выбранной темы проекта</w:t>
      </w:r>
    </w:p>
    <w:p w:rsidR="00D8002F" w:rsidRPr="00756E35" w:rsidRDefault="00D8002F" w:rsidP="00756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>Современный подросток живет в мире, сложном по своему содержанию и тенденциям социализации. Это связано, во-первых, с темпом и ритмом технико-технологических преобразований, предъявляющих к растущим людям новые требования. Во-вторых, с насыщенным характером информации, глубинно воздействующей на подростка, у которого еще не выработано четкой жизненной позиции. В-третьих, с экологическим и экономическим кризисами, поразившими наше общество, что вызывает у детей чувства безнадежности и раздражения. Напряженная, неустойчивая социальная, экономическая, экологическая, идеологическая обстановка, сложившаяся в настоящее время в нашем обществе, обусловливает рост различных отклонений в личностном развитии и поведении растущих людей. Среди них особую тревогу вызывают не только прогрессирующая отчужденность от взрослых, повышенная тревожность, духовная опустошенность детей, но и их цинизм, жестокость, агрессивность. Наиболее остро этот процесс проявляется на рубеже перехода ребенка из детства во взрослое состояние - в подростковом возрасте.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 xml:space="preserve">Как правило, в подростковом возрасте  возникают проблемы в отношениях с взрослыми, в частности,  с родителями. Родители продолжают смотреть на своего ребенка как на маленького, а он пытается вырваться из-под родительской опеки. Поэтому взаимоотношения обычно характеризуются повышенной конфликтностью, усиливается критичность по отношению к мнениям взрослых, но при этом становится более значимым мнение сверстников. 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 xml:space="preserve">Дети, не получившие внимания, ласки, понимания со стороны близких взрослых,  стремятся самоутвердиться в «сомнительных» дворовых компаниях.   Немалая часть подростков, предоставленных самим себе,  забрасывают учебу, отдают свободное время улице, бесцельному времяпрепровождению. 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>Все больше подростков вовлекается в такие формы поведения, как хулиганство, воровство, кражи, избиения, угон автомашин, бродяжничество, наркомания  и др., что является высокой степенью риска, как для самого подростка, так и для общества в целом. Интенсивный рост девиантного (в том числе криминогенного) сознания и поведения подростков справедливо отнесен к одной из наиболее опасных социальных болезней современного российского общества.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>Согласно Федеральному закону «Об основах системы профилактики безнадзорности и правонарушений несовершеннолетних» ФЗ-№120 от 24.06.1999г., важнейшим социальным заказом общества является воспитательно-профилактическая работа с детьми и подростками по предупреждению правонарушений. Профилактика девиантного поведения является одним из основных и перспективных направлений деятельности в работе с детьми и подростками. Жизнь повседневно убеждает, что легче, с гораздо меньшими издержками для общества и личности, не допустить возможных отклонений в действиях или поведении социального объекта, чем потом бороться с уже наступившими негативными последствиями. Проблема девиантного поведения - это проблема общества в целом, и её решение способствует успешному духовному и нравственному развитию общества и государства.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>Высокая научная и общественная значимость проблемы девиантного поведения находит подтверждение в многочисленных теоретических и прикладных исследованиях этого вопроса. Изучение имеющейся по данной проблеме литературы показало, что в целом в области предупреждения и преодоления девиантного поведения существуют значительные теоретические достижения. Проблемами преодоления и профилактики различных проявлений девиантного поведения занимались такие зарубежные ученые, как: Э. Дюркгейм, Р. Мертон, И. Гофман, Э. Лемерт, Г. Беккер, Н. Смелзер А. Коэн, З. Фрейд, Ч. Ломброзо, У. Шелдон и др.; в России различные аспекты девиантного поведения изучались и изучаются рядом исследователей и ученых, таких, как: Я.И. Гилинский, Ю.А. Клейберг, Е.В. Змановская, Л.Б. Шнейдер, В.И. Кудрявцев, И.С.Кон. В.Д. Менделевич, А.Е. Личко, С.А. Беличеваи др.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 xml:space="preserve">Ими созданы теории и концепции, рассматривающие девиантное поведение как результат социальных процессов, сложных взаимоотношений между обществом и конкретной личностью. 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В связи с экономической, демографической, социальной и политической нестабильностью в стране в целом и в нашем городе -  в частности происходит рост количества проявлений девиантного поведения среди подростков. При этом девиантное поведение все больше и больше </w:t>
      </w:r>
      <w:r w:rsidRPr="00756E35">
        <w:rPr>
          <w:rFonts w:ascii="Times New Roman" w:hAnsi="Times New Roman" w:cs="Times New Roman"/>
          <w:sz w:val="24"/>
          <w:szCs w:val="24"/>
        </w:rPr>
        <w:lastRenderedPageBreak/>
        <w:t xml:space="preserve">перерастает в криминальное, преступное поведение. Происходит рост числа несовершеннолетних, употребляющих алкоголь, наркотические вещества, что также ведет к ухудшению криминогенной обстановки. По официальным </w:t>
      </w:r>
      <w:r w:rsidR="0010189A" w:rsidRPr="00756E35">
        <w:rPr>
          <w:rFonts w:ascii="Times New Roman" w:hAnsi="Times New Roman" w:cs="Times New Roman"/>
          <w:sz w:val="24"/>
          <w:szCs w:val="24"/>
        </w:rPr>
        <w:t>данным по</w:t>
      </w:r>
      <w:r w:rsidRPr="00756E35">
        <w:rPr>
          <w:rFonts w:ascii="Times New Roman" w:hAnsi="Times New Roman" w:cs="Times New Roman"/>
          <w:sz w:val="24"/>
          <w:szCs w:val="24"/>
        </w:rPr>
        <w:t xml:space="preserve"> городу Новосибирску</w:t>
      </w:r>
      <w:r w:rsidR="0010189A" w:rsidRPr="00756E35">
        <w:rPr>
          <w:rFonts w:ascii="Times New Roman" w:hAnsi="Times New Roman" w:cs="Times New Roman"/>
          <w:sz w:val="24"/>
          <w:szCs w:val="24"/>
        </w:rPr>
        <w:t xml:space="preserve"> наблюдался рост</w:t>
      </w:r>
      <w:r w:rsidRPr="00756E35">
        <w:rPr>
          <w:rFonts w:ascii="Times New Roman" w:hAnsi="Times New Roman" w:cs="Times New Roman"/>
          <w:sz w:val="24"/>
          <w:szCs w:val="24"/>
        </w:rPr>
        <w:t xml:space="preserve"> </w:t>
      </w:r>
      <w:r w:rsidR="0010189A" w:rsidRPr="00756E35">
        <w:rPr>
          <w:rFonts w:ascii="Times New Roman" w:hAnsi="Times New Roman" w:cs="Times New Roman"/>
          <w:sz w:val="24"/>
          <w:szCs w:val="24"/>
        </w:rPr>
        <w:t>численности</w:t>
      </w:r>
      <w:r w:rsidRPr="00756E35">
        <w:rPr>
          <w:rFonts w:ascii="Times New Roman" w:hAnsi="Times New Roman" w:cs="Times New Roman"/>
          <w:sz w:val="24"/>
          <w:szCs w:val="24"/>
        </w:rPr>
        <w:t xml:space="preserve"> подростков, употребляющих психотропные вещества. За этот же период увеличилась категория  родителей, не исполняющих обязанности по воспитанию своих детей, что оказывает негативное влияние на развитие несовершеннолетних.  </w:t>
      </w:r>
    </w:p>
    <w:p w:rsidR="007801B9" w:rsidRPr="00756E35" w:rsidRDefault="007801B9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color w:val="000000"/>
          <w:sz w:val="24"/>
          <w:szCs w:val="24"/>
        </w:rPr>
        <w:t>Основная задача специалистов образовательных учреждений, работающих с трудными подросткам, - помочь найти свое достойное место в мире взрослых, минимизировать трудности социальной адаптации, уберечь от неверного пути. Профилактика различных форм девиантного поведения и реабилитации подростков групп социального риска является сегодня исключительно важным и актуальным направлением.</w:t>
      </w:r>
    </w:p>
    <w:p w:rsidR="00D8002F" w:rsidRPr="00756E35" w:rsidRDefault="00D8002F" w:rsidP="00756E3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И наконец, актуальность исследуемой нами проблемы проявляется в недостаточно эффективной профилактической работе с подростками, склонными к девиантному поведению, что отмечается в анализе современной ситуации в образовательных учреждениях, подготовленным Министерством образования по Новосибирской области и представленным на городском конгрессе «Профилактика девиантного поведения подростков в общеобразовательных школах»</w:t>
      </w:r>
    </w:p>
    <w:p w:rsidR="00ED5F7B" w:rsidRPr="00756E35" w:rsidRDefault="00ED5F7B" w:rsidP="00756E35">
      <w:pPr>
        <w:pStyle w:val="a3"/>
        <w:widowControl w:val="0"/>
        <w:autoSpaceDE w:val="0"/>
        <w:spacing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</w:p>
    <w:p w:rsidR="00ED5F7B" w:rsidRPr="00756E35" w:rsidRDefault="00ED5F7B" w:rsidP="00756E35">
      <w:pPr>
        <w:pStyle w:val="a3"/>
        <w:widowControl w:val="0"/>
        <w:autoSpaceDE w:val="0"/>
        <w:spacing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</w:p>
    <w:p w:rsidR="00ED5F7B" w:rsidRPr="00756E35" w:rsidRDefault="00ED5F7B" w:rsidP="00756E35">
      <w:pPr>
        <w:pStyle w:val="a3"/>
        <w:widowControl w:val="0"/>
        <w:autoSpaceDE w:val="0"/>
        <w:spacing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</w:p>
    <w:p w:rsidR="0010189A" w:rsidRPr="00756E35" w:rsidRDefault="0010189A" w:rsidP="00756E35">
      <w:pPr>
        <w:pStyle w:val="a3"/>
        <w:widowControl w:val="0"/>
        <w:numPr>
          <w:ilvl w:val="0"/>
          <w:numId w:val="1"/>
        </w:numPr>
        <w:autoSpaceDE w:val="0"/>
        <w:spacing w:line="240" w:lineRule="auto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756E35">
        <w:rPr>
          <w:rFonts w:ascii="Times New Roman CYR" w:hAnsi="Times New Roman CYR" w:cs="Times New Roman CYR"/>
          <w:b/>
          <w:color w:val="000000"/>
          <w:sz w:val="24"/>
          <w:szCs w:val="24"/>
        </w:rPr>
        <w:t>Цель проекта</w:t>
      </w:r>
    </w:p>
    <w:p w:rsidR="00D8002F" w:rsidRPr="00756E35" w:rsidRDefault="0010189A" w:rsidP="00756E35">
      <w:pPr>
        <w:widowControl w:val="0"/>
        <w:autoSpaceDE w:val="0"/>
        <w:spacing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8002F" w:rsidRPr="00756E35">
        <w:rPr>
          <w:rFonts w:ascii="Times New Roman" w:hAnsi="Times New Roman" w:cs="Times New Roman"/>
          <w:color w:val="000000"/>
          <w:sz w:val="24"/>
          <w:szCs w:val="24"/>
        </w:rPr>
        <w:t>ыявить причины девиантного поведения подростков и разработать психолого-педагогические условия профилактики девиаций.</w:t>
      </w:r>
    </w:p>
    <w:p w:rsidR="0010189A" w:rsidRPr="00756E35" w:rsidRDefault="0010189A" w:rsidP="00756E35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Задачи проекта</w:t>
      </w:r>
    </w:p>
    <w:p w:rsidR="0010189A" w:rsidRPr="00756E35" w:rsidRDefault="0010189A" w:rsidP="00756E35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Развитие комплекса жизненно важных навыков.</w:t>
      </w:r>
    </w:p>
    <w:p w:rsidR="0010189A" w:rsidRPr="00756E35" w:rsidRDefault="0010189A" w:rsidP="00756E35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Улучшение детско – родительских отношений посредством повышения родительской компетентности. </w:t>
      </w:r>
    </w:p>
    <w:p w:rsidR="0010189A" w:rsidRPr="00756E35" w:rsidRDefault="0010189A" w:rsidP="00756E35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Создание условий для формирования у подростков положительных знаний и умений о правильном образе жизни, социально приемлемом поведении.</w:t>
      </w:r>
    </w:p>
    <w:p w:rsidR="0010189A" w:rsidRPr="00756E35" w:rsidRDefault="0010189A" w:rsidP="00756E35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Повышение психолого-педагогической компетентности педагогов в вопросах взаимодействия с трудными подростками.</w:t>
      </w:r>
    </w:p>
    <w:p w:rsidR="0010189A" w:rsidRPr="00756E35" w:rsidRDefault="00066FFD" w:rsidP="00756E35">
      <w:pPr>
        <w:pStyle w:val="a3"/>
        <w:widowControl w:val="0"/>
        <w:numPr>
          <w:ilvl w:val="0"/>
          <w:numId w:val="1"/>
        </w:numPr>
        <w:autoSpaceDE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color w:val="000000"/>
          <w:sz w:val="24"/>
          <w:szCs w:val="24"/>
        </w:rPr>
        <w:t>Участники проекта</w:t>
      </w:r>
    </w:p>
    <w:p w:rsidR="00066FFD" w:rsidRPr="00756E35" w:rsidRDefault="00066FFD" w:rsidP="00756E35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Проект ориентирован на учащихся 6-8 классов общеобразовательной школы, их родителей и учителей.</w:t>
      </w:r>
    </w:p>
    <w:p w:rsidR="00066FFD" w:rsidRPr="00756E35" w:rsidRDefault="00066FFD" w:rsidP="00756E35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Формы и методы реализации проекта</w:t>
      </w:r>
    </w:p>
    <w:p w:rsidR="0098291F" w:rsidRPr="00756E35" w:rsidRDefault="00066FFD" w:rsidP="00756E35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Занятия проводятся в разнообразных формах и предусматривают мини- лекции, беседы, выполнение игровых и тренинговых упражнений, участие в групповых дискуссиях. На занятиях рекомендуется использовать все виды деятельности, которые требуют творческого подхода к материалу и обеспечивают условия для раскрытия индивидуальности учащегося. Занятия проводятся в коллективной форме. </w:t>
      </w:r>
    </w:p>
    <w:p w:rsidR="0098291F" w:rsidRPr="00756E35" w:rsidRDefault="0098291F" w:rsidP="00756E35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291F" w:rsidRPr="00756E35" w:rsidRDefault="0098291F" w:rsidP="00756E35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Ожидаемые результаты работы с подростками: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Положительная динамика в развитии способности к позитивному общению; 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Изменение в позитивном направлении «Я – концепции» каждого подростка, появление чувства самоуважения;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Появление способности критически мыслить, умения ставить социально-значимые цели и принимать ответственные решения.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Развитие умения владеть эмоциями, справляться со стрессами, тревожностью;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>Положительная динамика в развитии способности неагрессивными способами реагировать на критику, противостоять вредным привычкам, решать проблемы социально позитивными средствами;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Развитие навыков продуктивного взаимодействия;</w:t>
      </w:r>
    </w:p>
    <w:p w:rsidR="0098291F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Cs/>
          <w:color w:val="000000"/>
          <w:sz w:val="24"/>
          <w:szCs w:val="24"/>
        </w:rPr>
        <w:t>Развитие творческих способностей и талантов детей, раскрытие их самобытности;</w:t>
      </w:r>
    </w:p>
    <w:p w:rsidR="00066FFD" w:rsidRPr="00756E35" w:rsidRDefault="0098291F" w:rsidP="00756E3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Развитие у родителей психолого-педагогической навыков по воспитанию детей.</w:t>
      </w:r>
    </w:p>
    <w:p w:rsidR="00066FFD" w:rsidRPr="00756E35" w:rsidRDefault="00066FFD" w:rsidP="00756E35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 мероприятий по реализации проекта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3402"/>
        <w:gridCol w:w="3969"/>
      </w:tblGrid>
      <w:tr w:rsidR="0098291F" w:rsidRPr="00756E35" w:rsidTr="001B58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91F" w:rsidRPr="00756E35" w:rsidRDefault="0098291F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91F" w:rsidRPr="00756E35" w:rsidRDefault="0098291F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этапа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91F" w:rsidRPr="00756E35" w:rsidRDefault="0098291F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1F" w:rsidRPr="00756E35" w:rsidRDefault="0098291F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</w:p>
        </w:tc>
      </w:tr>
      <w:tr w:rsidR="001B58AA" w:rsidRPr="00756E35" w:rsidTr="001B58A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Подготовительный этап</w:t>
            </w:r>
          </w:p>
          <w:p w:rsidR="001B58AA" w:rsidRPr="00756E35" w:rsidRDefault="003739F5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(сентябрь 2017</w:t>
            </w:r>
            <w:r w:rsidR="001B58AA"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EB3C28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</w:t>
            </w:r>
            <w:r w:rsidR="001B58AA"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учащихся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pStyle w:val="a3"/>
              <w:numPr>
                <w:ilvl w:val="0"/>
                <w:numId w:val="21"/>
              </w:numPr>
              <w:spacing w:line="240" w:lineRule="auto"/>
              <w:ind w:left="317" w:hanging="31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Изучение социальной ситуации развития и личностных особенностей подростков</w:t>
            </w:r>
          </w:p>
        </w:tc>
      </w:tr>
      <w:tr w:rsidR="001B58AA" w:rsidRPr="00756E35" w:rsidTr="001B58A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психологических портретов учащихся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pStyle w:val="a3"/>
              <w:numPr>
                <w:ilvl w:val="0"/>
                <w:numId w:val="21"/>
              </w:numPr>
              <w:spacing w:line="240" w:lineRule="auto"/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Определение психологических характеристик подростков</w:t>
            </w:r>
          </w:p>
        </w:tc>
      </w:tr>
      <w:tr w:rsidR="001B58AA" w:rsidRPr="00756E35" w:rsidTr="001B58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программ работы с подростками, родителями, педагогами.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pStyle w:val="a3"/>
              <w:numPr>
                <w:ilvl w:val="0"/>
                <w:numId w:val="21"/>
              </w:numPr>
              <w:spacing w:line="240" w:lineRule="auto"/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Определение психолого-педагогических условий для профилактике девиантного поведения</w:t>
            </w:r>
          </w:p>
        </w:tc>
      </w:tr>
      <w:tr w:rsidR="001B58AA" w:rsidRPr="00756E35" w:rsidTr="001B58A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Основной этап </w:t>
            </w:r>
          </w:p>
          <w:p w:rsidR="001B58AA" w:rsidRPr="00756E35" w:rsidRDefault="003739F5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(октябрь-май 2017-2018</w:t>
            </w:r>
            <w:r w:rsidR="001B58AA"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 по работе с учащимися, родителями, педагогами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pStyle w:val="a3"/>
              <w:numPr>
                <w:ilvl w:val="0"/>
                <w:numId w:val="21"/>
              </w:numPr>
              <w:spacing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успешной социализации подростков склонных с девиантному поведению.</w:t>
            </w:r>
          </w:p>
          <w:p w:rsidR="001B58AA" w:rsidRPr="00756E35" w:rsidRDefault="001B58AA" w:rsidP="00756E3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B58AA" w:rsidRPr="00756E35" w:rsidTr="001B58A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Повторное исследование подростков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8AA" w:rsidRPr="00756E35" w:rsidRDefault="001B58AA" w:rsidP="00756E35">
            <w:pPr>
              <w:pStyle w:val="a3"/>
              <w:numPr>
                <w:ilvl w:val="0"/>
                <w:numId w:val="21"/>
              </w:numPr>
              <w:spacing w:line="24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Выявление положительной динамики.</w:t>
            </w:r>
          </w:p>
        </w:tc>
      </w:tr>
      <w:tr w:rsidR="00D31BB0" w:rsidRPr="00756E35" w:rsidTr="001B58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1B58AA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Аналитический </w:t>
            </w:r>
          </w:p>
          <w:p w:rsidR="00D31BB0" w:rsidRPr="00756E35" w:rsidRDefault="003739F5" w:rsidP="00756E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(июнь 2018</w:t>
            </w:r>
            <w:r w:rsidR="00D31BB0"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г.)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pStyle w:val="a3"/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 проведенной работы</w:t>
            </w:r>
          </w:p>
        </w:tc>
      </w:tr>
    </w:tbl>
    <w:p w:rsidR="00EB3C28" w:rsidRPr="00756E35" w:rsidRDefault="00EB3C28" w:rsidP="00756E35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3C28" w:rsidRPr="00756E35" w:rsidRDefault="00EB3C28" w:rsidP="00756E35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 исследования подростков</w:t>
      </w:r>
    </w:p>
    <w:p w:rsidR="00EB3C28" w:rsidRPr="00756E35" w:rsidRDefault="00EB3C28" w:rsidP="00756E35">
      <w:pPr>
        <w:spacing w:line="240" w:lineRule="auto"/>
        <w:jc w:val="both"/>
        <w:rPr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График №1- процентное соотношение типов родительского отношения</w:t>
      </w:r>
      <w:r w:rsidRPr="00756E35">
        <w:rPr>
          <w:noProof/>
          <w:sz w:val="24"/>
          <w:szCs w:val="24"/>
          <w:lang w:eastAsia="ru-RU"/>
        </w:rPr>
        <w:drawing>
          <wp:inline distT="0" distB="0" distL="0" distR="0" wp14:anchorId="58FFC64C" wp14:editId="67673BDB">
            <wp:extent cx="5356800" cy="2340597"/>
            <wp:effectExtent l="0" t="0" r="0" b="3175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B3C28" w:rsidRPr="00756E35" w:rsidRDefault="00EB3C28" w:rsidP="00756E35">
      <w:pPr>
        <w:spacing w:line="240" w:lineRule="auto"/>
        <w:rPr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№2 -  процентное соотношение семей по  социальному статусу </w:t>
      </w:r>
      <w:r w:rsidRPr="00756E35">
        <w:rPr>
          <w:rFonts w:ascii="Times New Roman" w:hAnsi="Times New Roman" w:cs="Times New Roman"/>
          <w:b/>
          <w:sz w:val="24"/>
          <w:szCs w:val="24"/>
        </w:rPr>
        <w:br/>
      </w:r>
      <w:r w:rsidRPr="00756E35">
        <w:rPr>
          <w:noProof/>
          <w:sz w:val="24"/>
          <w:szCs w:val="24"/>
          <w:lang w:eastAsia="ru-RU"/>
        </w:rPr>
        <w:drawing>
          <wp:inline distT="0" distB="0" distL="0" distR="0">
            <wp:extent cx="5380941" cy="2376000"/>
            <wp:effectExtent l="0" t="0" r="0" b="5715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3C28" w:rsidRPr="00756E35" w:rsidRDefault="00EB3C28" w:rsidP="00756E35">
      <w:pPr>
        <w:spacing w:line="240" w:lineRule="auto"/>
        <w:jc w:val="both"/>
        <w:rPr>
          <w:sz w:val="24"/>
          <w:szCs w:val="24"/>
        </w:rPr>
      </w:pPr>
    </w:p>
    <w:p w:rsidR="00EB3C28" w:rsidRPr="00756E35" w:rsidRDefault="00EB3C28" w:rsidP="00756E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График №3 -  результаты исследования  положения ребенка в классе с помощью социометрии  в процентном соотношении</w:t>
      </w:r>
    </w:p>
    <w:p w:rsidR="00EB3C28" w:rsidRPr="00756E35" w:rsidRDefault="00EB3C28" w:rsidP="00756E35">
      <w:pPr>
        <w:pStyle w:val="a9"/>
      </w:pPr>
      <w:r w:rsidRPr="00756E35">
        <w:rPr>
          <w:noProof/>
          <w:lang w:eastAsia="ru-RU"/>
        </w:rPr>
        <w:drawing>
          <wp:inline distT="0" distB="0" distL="0" distR="0">
            <wp:extent cx="5962470" cy="2210400"/>
            <wp:effectExtent l="0" t="0" r="635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График №4  -  Результаты исследования  по тесту школьной тревожности Филлипса» в процентном соотношении</w:t>
      </w:r>
    </w:p>
    <w:p w:rsidR="00EB3C28" w:rsidRPr="00756E35" w:rsidRDefault="00EB3C28" w:rsidP="00756E35">
      <w:pPr>
        <w:spacing w:line="240" w:lineRule="auto"/>
        <w:rPr>
          <w:sz w:val="24"/>
          <w:szCs w:val="24"/>
        </w:rPr>
      </w:pPr>
      <w:bookmarkStart w:id="0" w:name="_GoBack"/>
      <w:r w:rsidRPr="00756E35">
        <w:rPr>
          <w:noProof/>
          <w:sz w:val="24"/>
          <w:szCs w:val="24"/>
          <w:lang w:eastAsia="ru-RU"/>
        </w:rPr>
        <w:drawing>
          <wp:inline distT="0" distB="0" distL="0" distR="0">
            <wp:extent cx="5909920" cy="2424867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3C28" w:rsidRPr="00756E35" w:rsidRDefault="00EB3C28" w:rsidP="00756E35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1BB0" w:rsidRPr="00756E35" w:rsidRDefault="00D31BB0" w:rsidP="00756E35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работы с подростками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5"/>
        <w:gridCol w:w="1078"/>
        <w:gridCol w:w="2268"/>
        <w:gridCol w:w="4111"/>
        <w:gridCol w:w="1843"/>
      </w:tblGrid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«Знакомство, установление правил»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4"/>
              </w:numPr>
              <w:tabs>
                <w:tab w:val="clear" w:pos="0"/>
              </w:tabs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знакомства с группой</w:t>
            </w:r>
          </w:p>
          <w:p w:rsidR="00D31BB0" w:rsidRPr="00756E35" w:rsidRDefault="00D31BB0" w:rsidP="00756E35">
            <w:pPr>
              <w:numPr>
                <w:ilvl w:val="0"/>
                <w:numId w:val="4"/>
              </w:numPr>
              <w:tabs>
                <w:tab w:val="clear" w:pos="0"/>
              </w:tabs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Установка правил проведения 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Лекция с элементами упражнений.</w:t>
            </w:r>
          </w:p>
        </w:tc>
      </w:tr>
      <w:tr w:rsidR="00D31BB0" w:rsidRPr="00756E35" w:rsidTr="001B58AA">
        <w:trPr>
          <w:trHeight w:val="2765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after="28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«Развитие навыков общения и взаимодействия» </w:t>
            </w:r>
          </w:p>
          <w:p w:rsidR="00D31BB0" w:rsidRPr="00756E35" w:rsidRDefault="00D31BB0" w:rsidP="00756E35">
            <w:pPr>
              <w:spacing w:before="28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Адекватное восприятие не только смысла сообщений партнера, но и его установок, переживаний, чувств, настроения.</w:t>
            </w:r>
          </w:p>
          <w:p w:rsidR="00D31BB0" w:rsidRPr="00756E35" w:rsidRDefault="00D31BB0" w:rsidP="00756E35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Побуждение к переживанию определенных эмоциональных состояний. Изменение эмоционального состояния партнера;</w:t>
            </w:r>
          </w:p>
          <w:p w:rsidR="00D31BB0" w:rsidRPr="00756E35" w:rsidRDefault="00D31BB0" w:rsidP="00756E35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своего статуса в системе взаимоотношений с партнером;</w:t>
            </w:r>
          </w:p>
          <w:p w:rsidR="00D31BB0" w:rsidRPr="00756E35" w:rsidRDefault="00D31BB0" w:rsidP="00756E35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93" w:hanging="42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Изменений состояния, поведения, самочувствия, мнений, решений, представлений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</w:p>
        </w:tc>
      </w:tr>
      <w:tr w:rsidR="00D31BB0" w:rsidRPr="00756E35" w:rsidTr="001B58AA">
        <w:trPr>
          <w:trHeight w:val="349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 Развитие навыков самоуважения и понимания других»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9"/>
              </w:numPr>
              <w:tabs>
                <w:tab w:val="clear" w:pos="720"/>
              </w:tabs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Анализировать свои поступки, чувства, переживания;</w:t>
            </w:r>
          </w:p>
          <w:p w:rsidR="00D31BB0" w:rsidRPr="00756E35" w:rsidRDefault="00D31BB0" w:rsidP="00756E35">
            <w:pPr>
              <w:numPr>
                <w:ilvl w:val="0"/>
                <w:numId w:val="9"/>
              </w:numPr>
              <w:tabs>
                <w:tab w:val="clear" w:pos="720"/>
              </w:tabs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Ясно и корректно выражать свои мысли;</w:t>
            </w:r>
          </w:p>
          <w:p w:rsidR="00D31BB0" w:rsidRPr="00756E35" w:rsidRDefault="00D31BB0" w:rsidP="00756E35">
            <w:pPr>
              <w:numPr>
                <w:ilvl w:val="0"/>
                <w:numId w:val="9"/>
              </w:numPr>
              <w:tabs>
                <w:tab w:val="clear" w:pos="720"/>
              </w:tabs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Слушать и воспринимать и обдумывать высказывания партнера о его чувствах и эмоциях.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</w:p>
        </w:tc>
      </w:tr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«Развитие навыков управления эмоциями»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Осознание и анализ собственных эмоций и эмоциональных состояний;</w:t>
            </w:r>
          </w:p>
          <w:p w:rsidR="00D31BB0" w:rsidRPr="00756E35" w:rsidRDefault="00D31BB0" w:rsidP="00756E35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Видеть и понимать эмоции, эмоциональные состояния и чувства других людей;</w:t>
            </w:r>
          </w:p>
          <w:p w:rsidR="00D31BB0" w:rsidRPr="00756E35" w:rsidRDefault="00D31BB0" w:rsidP="00756E35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Соотносить свои эмоции с эмоциями других, видеть сходство и различия в эмоциональных реакциях;</w:t>
            </w:r>
          </w:p>
          <w:p w:rsidR="00D31BB0" w:rsidRPr="00756E35" w:rsidRDefault="00D31BB0" w:rsidP="00756E35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Произвольно регулировать собственные эмоциональные состояния.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Тренинг</w:t>
            </w:r>
          </w:p>
        </w:tc>
      </w:tr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after="28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«Развитие навыков противостояния  негативным факторам» </w:t>
            </w:r>
          </w:p>
          <w:p w:rsidR="00D31BB0" w:rsidRPr="00756E35" w:rsidRDefault="00D31BB0" w:rsidP="00756E35">
            <w:pPr>
              <w:spacing w:before="28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0"/>
              </w:numPr>
              <w:shd w:val="clear" w:color="auto" w:fill="FFFFFF"/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Совершенствовать у подростков навыки распознавания приемов манипулирования;</w:t>
            </w:r>
          </w:p>
          <w:p w:rsidR="00D31BB0" w:rsidRPr="00756E35" w:rsidRDefault="00D31BB0" w:rsidP="00756E35">
            <w:pPr>
              <w:numPr>
                <w:ilvl w:val="0"/>
                <w:numId w:val="10"/>
              </w:numPr>
              <w:shd w:val="clear" w:color="auto" w:fill="FFFFFF"/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Научить  способам противостояния манипуляциям,</w:t>
            </w:r>
          </w:p>
          <w:p w:rsidR="00D31BB0" w:rsidRPr="00756E35" w:rsidRDefault="00D31BB0" w:rsidP="00756E35">
            <w:pPr>
              <w:numPr>
                <w:ilvl w:val="0"/>
                <w:numId w:val="10"/>
              </w:numPr>
              <w:shd w:val="clear" w:color="auto" w:fill="FFFFFF"/>
              <w:suppressAutoHyphens/>
              <w:spacing w:after="0" w:line="240" w:lineRule="auto"/>
              <w:ind w:left="459" w:hanging="42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ценностных ориентиров, потребности в сохранении  физического и психического здоровья..</w:t>
            </w:r>
          </w:p>
          <w:p w:rsidR="00D31BB0" w:rsidRPr="00756E35" w:rsidRDefault="00D31BB0" w:rsidP="00756E35">
            <w:pPr>
              <w:spacing w:line="240" w:lineRule="auto"/>
              <w:ind w:left="459" w:hanging="425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Групповая дискуссия, тренинг</w:t>
            </w:r>
          </w:p>
        </w:tc>
      </w:tr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Style w:val="c12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«Семья и семейные ценности. Дом счастья»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pStyle w:val="c10c3"/>
              <w:numPr>
                <w:ilvl w:val="0"/>
                <w:numId w:val="7"/>
              </w:numPr>
              <w:tabs>
                <w:tab w:val="clear" w:pos="0"/>
              </w:tabs>
              <w:spacing w:before="0" w:after="0"/>
              <w:ind w:left="459" w:hanging="425"/>
              <w:jc w:val="both"/>
              <w:rPr>
                <w:rStyle w:val="c12c0"/>
                <w:color w:val="000000"/>
              </w:rPr>
            </w:pPr>
            <w:r w:rsidRPr="00756E35">
              <w:rPr>
                <w:rStyle w:val="c12c0"/>
                <w:color w:val="000000"/>
              </w:rPr>
              <w:t>Раскрыть роль семьи в жизни каждого человека;</w:t>
            </w:r>
          </w:p>
          <w:p w:rsidR="00D31BB0" w:rsidRPr="00756E35" w:rsidRDefault="00D31BB0" w:rsidP="00756E35">
            <w:pPr>
              <w:pStyle w:val="c10c3"/>
              <w:numPr>
                <w:ilvl w:val="0"/>
                <w:numId w:val="7"/>
              </w:numPr>
              <w:tabs>
                <w:tab w:val="clear" w:pos="0"/>
              </w:tabs>
              <w:spacing w:before="0" w:after="0"/>
              <w:ind w:left="459" w:hanging="425"/>
              <w:jc w:val="both"/>
              <w:rPr>
                <w:rStyle w:val="c12c0"/>
                <w:color w:val="000000"/>
              </w:rPr>
            </w:pPr>
            <w:r w:rsidRPr="00756E35">
              <w:rPr>
                <w:rStyle w:val="c12c0"/>
                <w:color w:val="000000"/>
              </w:rPr>
              <w:t>Определить понятие «семья»;</w:t>
            </w:r>
          </w:p>
          <w:p w:rsidR="00D31BB0" w:rsidRPr="00756E35" w:rsidRDefault="00D31BB0" w:rsidP="00756E35">
            <w:pPr>
              <w:pStyle w:val="c3c10"/>
              <w:numPr>
                <w:ilvl w:val="0"/>
                <w:numId w:val="7"/>
              </w:numPr>
              <w:tabs>
                <w:tab w:val="clear" w:pos="0"/>
              </w:tabs>
              <w:spacing w:before="0" w:after="0"/>
              <w:ind w:left="459" w:hanging="425"/>
              <w:jc w:val="both"/>
              <w:rPr>
                <w:rStyle w:val="c12c0"/>
                <w:color w:val="000000"/>
              </w:rPr>
            </w:pPr>
            <w:r w:rsidRPr="00756E35">
              <w:rPr>
                <w:rStyle w:val="c12c0"/>
                <w:color w:val="000000"/>
              </w:rPr>
              <w:t>Формировать понятие «счастливая семья»;</w:t>
            </w:r>
          </w:p>
          <w:p w:rsidR="00D31BB0" w:rsidRPr="00756E35" w:rsidRDefault="00D31BB0" w:rsidP="00756E35">
            <w:pPr>
              <w:pStyle w:val="c10c3"/>
              <w:numPr>
                <w:ilvl w:val="0"/>
                <w:numId w:val="7"/>
              </w:numPr>
              <w:tabs>
                <w:tab w:val="clear" w:pos="0"/>
              </w:tabs>
              <w:spacing w:before="0" w:after="0"/>
              <w:ind w:left="459" w:hanging="425"/>
              <w:jc w:val="both"/>
              <w:rPr>
                <w:bCs/>
                <w:color w:val="000000"/>
              </w:rPr>
            </w:pPr>
            <w:r w:rsidRPr="00756E35">
              <w:rPr>
                <w:rStyle w:val="c12c0"/>
                <w:color w:val="000000"/>
              </w:rPr>
              <w:t>Способствовать осознанию ценности семейных отношений.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с элементами лекции</w:t>
            </w:r>
          </w:p>
        </w:tc>
      </w:tr>
      <w:tr w:rsidR="00D31BB0" w:rsidRPr="00756E35" w:rsidTr="001B58A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«Здоровый образ жизни»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numPr>
                <w:ilvl w:val="0"/>
                <w:numId w:val="11"/>
              </w:numPr>
              <w:tabs>
                <w:tab w:val="clear" w:pos="1144"/>
              </w:tabs>
              <w:suppressAutoHyphens/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внимательного отношения к своему здоровью;</w:t>
            </w:r>
          </w:p>
          <w:p w:rsidR="00D31BB0" w:rsidRPr="00756E35" w:rsidRDefault="00D31BB0" w:rsidP="00756E35">
            <w:pPr>
              <w:numPr>
                <w:ilvl w:val="0"/>
                <w:numId w:val="11"/>
              </w:numPr>
              <w:tabs>
                <w:tab w:val="clear" w:pos="1144"/>
              </w:tabs>
              <w:suppressAutoHyphens/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мотивации на здоровый образ жизни;</w:t>
            </w:r>
          </w:p>
          <w:p w:rsidR="00D31BB0" w:rsidRPr="00756E35" w:rsidRDefault="00D31BB0" w:rsidP="00756E35">
            <w:pPr>
              <w:numPr>
                <w:ilvl w:val="0"/>
                <w:numId w:val="11"/>
              </w:numPr>
              <w:tabs>
                <w:tab w:val="clear" w:pos="1144"/>
              </w:tabs>
              <w:suppressAutoHyphens/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творческих способностей, расширение кругозора.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BB0" w:rsidRPr="00756E35" w:rsidRDefault="00D31BB0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Групповая дискуссия.</w:t>
            </w:r>
          </w:p>
        </w:tc>
      </w:tr>
    </w:tbl>
    <w:p w:rsidR="00066FFD" w:rsidRPr="00756E35" w:rsidRDefault="00066FFD" w:rsidP="00756E35">
      <w:pPr>
        <w:spacing w:before="280" w:after="28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6FFD" w:rsidRPr="00756E35" w:rsidRDefault="00066FFD" w:rsidP="00756E35">
      <w:pPr>
        <w:spacing w:before="280" w:after="2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Программа родительского лектория</w:t>
      </w:r>
    </w:p>
    <w:tbl>
      <w:tblPr>
        <w:tblW w:w="1006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53"/>
        <w:gridCol w:w="1151"/>
        <w:gridCol w:w="2410"/>
        <w:gridCol w:w="3969"/>
        <w:gridCol w:w="1985"/>
      </w:tblGrid>
      <w:tr w:rsidR="001B58AA" w:rsidRPr="00756E35" w:rsidTr="001B58AA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1B58AA" w:rsidRPr="00756E35" w:rsidTr="001B58AA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«Особенности семейного воспитания»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0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Познакомить родителей  с типами воспитания, негативно влияющими на психику ребенка.</w:t>
            </w:r>
          </w:p>
          <w:p w:rsidR="00066FFD" w:rsidRPr="00756E35" w:rsidRDefault="00066FFD" w:rsidP="00756E35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0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Побудить родителей к размышлениям об особенностях воспитания в их семье.</w:t>
            </w:r>
          </w:p>
          <w:p w:rsidR="00066FFD" w:rsidRPr="00756E35" w:rsidRDefault="00066FFD" w:rsidP="00756E35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0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Развивать умения родителей видеть себя со стороны.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Лекция, упражнения.</w:t>
            </w:r>
          </w:p>
        </w:tc>
      </w:tr>
      <w:tr w:rsidR="001B58AA" w:rsidRPr="00756E35" w:rsidTr="001B58AA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«Психологическое здоровье ребенка в условиях семьи»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3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Сформировать у родителей понимание   здоровья как многоаспектной характеристики.</w:t>
            </w:r>
          </w:p>
          <w:p w:rsidR="00066FFD" w:rsidRPr="00756E35" w:rsidRDefault="00066FFD" w:rsidP="00756E3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3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Показать роль стиля воспитания в сохранении здоровья семьи и профилактике отклонений в дальнейшем развитии ребёнка.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Лекция</w:t>
            </w:r>
          </w:p>
        </w:tc>
      </w:tr>
      <w:tr w:rsidR="001B58AA" w:rsidRPr="00756E35" w:rsidTr="001B58AA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«Взаимопонимае в семье и как его добиться»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0"/>
                <w:tab w:val="left" w:pos="343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основные причины конфликтов, возникающих между родителями и подростками.</w:t>
            </w:r>
          </w:p>
          <w:p w:rsidR="00066FFD" w:rsidRPr="00756E35" w:rsidRDefault="00066FFD" w:rsidP="00756E35">
            <w:pPr>
              <w:numPr>
                <w:ilvl w:val="0"/>
                <w:numId w:val="13"/>
              </w:numPr>
              <w:shd w:val="clear" w:color="auto" w:fill="FFFFFF"/>
              <w:tabs>
                <w:tab w:val="clear" w:pos="0"/>
                <w:tab w:val="left" w:pos="343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Расширить представления о том,  как добиться взаимопонимания с подростком.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Групповая дискуссия, упражнения</w:t>
            </w:r>
          </w:p>
        </w:tc>
      </w:tr>
      <w:tr w:rsidR="001B58AA" w:rsidRPr="00756E35" w:rsidTr="001B58AA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«Как стать хорошим родителем»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12"/>
              </w:numPr>
              <w:tabs>
                <w:tab w:val="clear" w:pos="0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 xml:space="preserve">Помочь родителям в выборе методов и средств воспитания собственных детей. </w:t>
            </w:r>
          </w:p>
          <w:p w:rsidR="00066FFD" w:rsidRPr="00756E35" w:rsidRDefault="00066FFD" w:rsidP="00756E35">
            <w:pPr>
              <w:numPr>
                <w:ilvl w:val="0"/>
                <w:numId w:val="12"/>
              </w:numPr>
              <w:tabs>
                <w:tab w:val="clear" w:pos="0"/>
              </w:tabs>
              <w:suppressAutoHyphens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культуры общения родителей 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Групповая дискуссия</w:t>
            </w:r>
          </w:p>
        </w:tc>
      </w:tr>
    </w:tbl>
    <w:p w:rsidR="00066FFD" w:rsidRPr="00756E35" w:rsidRDefault="00066FFD" w:rsidP="00756E35">
      <w:pPr>
        <w:spacing w:before="280" w:after="2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>Программа занятий для педагогов</w:t>
      </w:r>
    </w:p>
    <w:tbl>
      <w:tblPr>
        <w:tblW w:w="10090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00"/>
        <w:gridCol w:w="885"/>
        <w:gridCol w:w="2551"/>
        <w:gridCol w:w="3827"/>
        <w:gridCol w:w="2127"/>
      </w:tblGrid>
      <w:tr w:rsidR="00066FFD" w:rsidRPr="00756E35" w:rsidTr="001B58AA">
        <w:trPr>
          <w:trHeight w:val="93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</w:tr>
      <w:tr w:rsidR="00066FFD" w:rsidRPr="00756E35" w:rsidTr="001B58AA">
        <w:trPr>
          <w:trHeight w:val="49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tabs>
                <w:tab w:val="left" w:pos="19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« Психологические особенности в подростковом возрасте»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pStyle w:val="a5"/>
              <w:numPr>
                <w:ilvl w:val="0"/>
                <w:numId w:val="16"/>
              </w:numPr>
              <w:tabs>
                <w:tab w:val="clear" w:pos="0"/>
              </w:tabs>
              <w:snapToGrid w:val="0"/>
              <w:spacing w:after="0"/>
              <w:ind w:left="317" w:hanging="283"/>
              <w:jc w:val="both"/>
            </w:pPr>
            <w:r w:rsidRPr="00756E35">
              <w:t xml:space="preserve">Систематизировать и дополнить теоретические знания об особенностях </w:t>
            </w:r>
            <w:r w:rsidRPr="00756E35">
              <w:rPr>
                <w:rStyle w:val="a4"/>
              </w:rPr>
              <w:t>подросткового возраста</w:t>
            </w:r>
            <w:r w:rsidRPr="00756E35">
              <w:t>.</w:t>
            </w:r>
          </w:p>
          <w:p w:rsidR="00066FFD" w:rsidRPr="00756E35" w:rsidRDefault="00066FFD" w:rsidP="00756E35">
            <w:pPr>
              <w:pStyle w:val="a5"/>
              <w:numPr>
                <w:ilvl w:val="0"/>
                <w:numId w:val="16"/>
              </w:numPr>
              <w:tabs>
                <w:tab w:val="clear" w:pos="0"/>
              </w:tabs>
              <w:snapToGrid w:val="0"/>
              <w:spacing w:after="0"/>
              <w:ind w:left="317" w:hanging="283"/>
              <w:jc w:val="both"/>
            </w:pPr>
            <w:r w:rsidRPr="00756E35">
              <w:t>Акцентировать внимание на важности реализации подростком его возрастных задач и удовлетворении насущных потребностей.</w:t>
            </w:r>
          </w:p>
          <w:p w:rsidR="00066FFD" w:rsidRPr="00756E35" w:rsidRDefault="00066FFD" w:rsidP="00756E35">
            <w:pPr>
              <w:pStyle w:val="a5"/>
              <w:numPr>
                <w:ilvl w:val="0"/>
                <w:numId w:val="16"/>
              </w:numPr>
              <w:tabs>
                <w:tab w:val="clear" w:pos="0"/>
              </w:tabs>
              <w:snapToGrid w:val="0"/>
              <w:spacing w:after="0"/>
              <w:ind w:left="317" w:hanging="283"/>
              <w:jc w:val="both"/>
            </w:pPr>
            <w:r w:rsidRPr="00756E35">
              <w:t xml:space="preserve">Ознакомить участников семинара с </w:t>
            </w:r>
            <w:r w:rsidRPr="00756E35">
              <w:rPr>
                <w:rStyle w:val="a4"/>
              </w:rPr>
              <w:t>диагностическими и коррекционными методиками,</w:t>
            </w:r>
            <w:r w:rsidRPr="00756E35">
              <w:t xml:space="preserve"> используемыми в работе с подростками;</w:t>
            </w:r>
          </w:p>
          <w:p w:rsidR="00066FFD" w:rsidRPr="00756E35" w:rsidRDefault="00066FFD" w:rsidP="00756E35">
            <w:pPr>
              <w:pStyle w:val="a5"/>
              <w:numPr>
                <w:ilvl w:val="0"/>
                <w:numId w:val="16"/>
              </w:numPr>
              <w:tabs>
                <w:tab w:val="clear" w:pos="0"/>
              </w:tabs>
              <w:snapToGrid w:val="0"/>
              <w:spacing w:after="0"/>
              <w:ind w:left="317" w:hanging="283"/>
              <w:jc w:val="both"/>
            </w:pPr>
            <w:r w:rsidRPr="00756E35">
              <w:t>Сформировать представления о разных уровнях проблем и механизмов психических нарушений в подростковом возрасте;</w:t>
            </w:r>
          </w:p>
          <w:p w:rsidR="00066FFD" w:rsidRPr="00756E35" w:rsidRDefault="00066FFD" w:rsidP="00756E35">
            <w:pPr>
              <w:pStyle w:val="a5"/>
              <w:numPr>
                <w:ilvl w:val="0"/>
                <w:numId w:val="16"/>
              </w:numPr>
              <w:tabs>
                <w:tab w:val="clear" w:pos="0"/>
              </w:tabs>
              <w:snapToGrid w:val="0"/>
              <w:spacing w:after="0"/>
              <w:ind w:left="317" w:hanging="283"/>
              <w:jc w:val="both"/>
            </w:pPr>
            <w:r w:rsidRPr="00756E35">
              <w:t xml:space="preserve">Создать условия для отработки практических навыков </w:t>
            </w:r>
            <w:r w:rsidRPr="00756E35">
              <w:rPr>
                <w:rStyle w:val="a4"/>
              </w:rPr>
              <w:t>психологического консультирования</w:t>
            </w:r>
            <w:r w:rsidRPr="00756E35">
              <w:t xml:space="preserve"> подростков (игры, упражнения).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Семинарское занятие.</w:t>
            </w:r>
          </w:p>
        </w:tc>
      </w:tr>
      <w:tr w:rsidR="00066FFD" w:rsidRPr="00756E35" w:rsidTr="001B58AA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«Проблемы подросткового возраста»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15"/>
              </w:numPr>
              <w:tabs>
                <w:tab w:val="clear" w:pos="0"/>
                <w:tab w:val="left" w:pos="399"/>
              </w:tabs>
              <w:suppressAutoHyphens/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Рассмотреть  типичные проблемы развития  в  подростковом возрасте.</w:t>
            </w:r>
          </w:p>
          <w:p w:rsidR="00066FFD" w:rsidRPr="00756E35" w:rsidRDefault="00066FFD" w:rsidP="00756E35">
            <w:pPr>
              <w:numPr>
                <w:ilvl w:val="0"/>
                <w:numId w:val="15"/>
              </w:numPr>
              <w:tabs>
                <w:tab w:val="clear" w:pos="0"/>
                <w:tab w:val="left" w:pos="399"/>
              </w:tabs>
              <w:suppressAutoHyphens/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Рассмотреть причины  развития девиантного поведения в подростковом возрасте.</w:t>
            </w:r>
          </w:p>
          <w:p w:rsidR="00066FFD" w:rsidRPr="00756E35" w:rsidRDefault="00066FFD" w:rsidP="00756E35">
            <w:pPr>
              <w:numPr>
                <w:ilvl w:val="0"/>
                <w:numId w:val="15"/>
              </w:numPr>
              <w:tabs>
                <w:tab w:val="clear" w:pos="0"/>
                <w:tab w:val="left" w:pos="399"/>
              </w:tabs>
              <w:suppressAutoHyphens/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Ознакомить с основными подходами в коррекции девиантного поведения.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Семинарское занятие</w:t>
            </w:r>
          </w:p>
        </w:tc>
      </w:tr>
      <w:tr w:rsidR="00066FFD" w:rsidRPr="00756E35" w:rsidTr="001B58AA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t xml:space="preserve">Семинар — практикум для отработки навыков и умений педагогов по работе с </w:t>
            </w:r>
            <w:r w:rsidRPr="00756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группы риска.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numPr>
                <w:ilvl w:val="0"/>
                <w:numId w:val="14"/>
              </w:numPr>
              <w:tabs>
                <w:tab w:val="clear" w:pos="0"/>
              </w:tabs>
              <w:suppressAutoHyphens/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Сформировать умения и навыки работы с девиантными подростками.</w:t>
            </w:r>
          </w:p>
          <w:p w:rsidR="00066FFD" w:rsidRPr="00756E35" w:rsidRDefault="00066FFD" w:rsidP="00756E35">
            <w:pPr>
              <w:numPr>
                <w:ilvl w:val="0"/>
                <w:numId w:val="14"/>
              </w:numPr>
              <w:tabs>
                <w:tab w:val="clear" w:pos="0"/>
              </w:tabs>
              <w:suppressAutoHyphens/>
              <w:snapToGrid w:val="0"/>
              <w:spacing w:after="0" w:line="240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закреплению  навыков  профилактической работы.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FFD" w:rsidRPr="00756E35" w:rsidRDefault="00066FFD" w:rsidP="00756E35">
            <w:pPr>
              <w:snapToGrid w:val="0"/>
              <w:spacing w:before="280" w:after="2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Семинар- практикум</w:t>
            </w:r>
          </w:p>
        </w:tc>
      </w:tr>
    </w:tbl>
    <w:p w:rsidR="00D8002F" w:rsidRPr="00756E35" w:rsidRDefault="00D8002F" w:rsidP="00756E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58AA" w:rsidRPr="00756E35" w:rsidRDefault="001B58AA" w:rsidP="00756E35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E35">
        <w:rPr>
          <w:rFonts w:ascii="Times New Roman" w:hAnsi="Times New Roman" w:cs="Times New Roman"/>
          <w:b/>
          <w:sz w:val="24"/>
          <w:szCs w:val="24"/>
        </w:rPr>
        <w:t xml:space="preserve">Список используемой </w:t>
      </w:r>
      <w:r w:rsidR="00ED5F7B" w:rsidRPr="00756E35">
        <w:rPr>
          <w:rFonts w:ascii="Times New Roman" w:hAnsi="Times New Roman" w:cs="Times New Roman"/>
          <w:b/>
          <w:sz w:val="24"/>
          <w:szCs w:val="24"/>
        </w:rPr>
        <w:t>источников</w:t>
      </w:r>
    </w:p>
    <w:p w:rsidR="001B58AA" w:rsidRPr="00756E35" w:rsidRDefault="001B58AA" w:rsidP="00756E3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5F7B" w:rsidRPr="00756E35" w:rsidRDefault="00ED5F7B" w:rsidP="00756E35">
      <w:pPr>
        <w:widowControl w:val="0"/>
        <w:numPr>
          <w:ilvl w:val="0"/>
          <w:numId w:val="22"/>
        </w:numPr>
        <w:shd w:val="clear" w:color="auto" w:fill="FFFFFF"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Хасан Б.И., Н.Н. Дюндик, Е.Ю. Федоренко Образование в области профилактики адиктивных форм поведения, организационно-методическое пособие, Москва, 2009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 xml:space="preserve">Бадмаев С.А. Психологическая коррекция отклоняющегося поведения школьников. – М.: Магистр, 2007. 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Божович Л.И. Проблемы формирования личности: Избранные труды. //Под ред. Д.И. Фельдштейна. - М.: Московский психолого-социальный институт, Воронеж: НПО «МОДЭК», 2001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Выготский, Л.С. Психология / Л.С. Выготский. - М.: ЭКСМО-Пресс, 2000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color w:val="000000"/>
          <w:sz w:val="24"/>
          <w:szCs w:val="24"/>
        </w:rPr>
        <w:t>Змановская Е.В. Девиантное поведение личности и группы: Уч. пособие/ Е.В. Змановская, В.Ю. Рыбников. - СПб: Питер, 2010.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color w:val="000000"/>
          <w:sz w:val="24"/>
          <w:szCs w:val="24"/>
        </w:rPr>
        <w:t>Клейберг Ю.А. Девиантное поведение в вопросах и ответах/ Ю.А. Клейберг: уч.пособие для вузов. 2-е изд. стереотипное - М.:НОУ ВПО Московский психолого-социальный институт, 2008.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Личко А.Е., Психология и акцентуация характера у подростков/ Спб, 2009</w:t>
      </w:r>
    </w:p>
    <w:p w:rsidR="00ED5F7B" w:rsidRPr="00756E35" w:rsidRDefault="00ED5F7B" w:rsidP="00756E35">
      <w:pPr>
        <w:widowControl w:val="0"/>
        <w:numPr>
          <w:ilvl w:val="0"/>
          <w:numId w:val="22"/>
        </w:numPr>
        <w:shd w:val="clear" w:color="auto" w:fill="FFFFFF"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Ляпина Е.Ю., Профилактика социально-опасного поведения школьников, система работы образовательных учреждений, Волгоград: «Учитель» - 2007</w:t>
      </w:r>
    </w:p>
    <w:p w:rsidR="00ED5F7B" w:rsidRPr="00756E35" w:rsidRDefault="00ED5F7B" w:rsidP="00756E35">
      <w:pPr>
        <w:widowControl w:val="0"/>
        <w:numPr>
          <w:ilvl w:val="0"/>
          <w:numId w:val="22"/>
        </w:numPr>
        <w:shd w:val="clear" w:color="auto" w:fill="FFFFFF"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Майорова Н.П., Чепурных Е.Е., Шурухт С.М., Обучение жизненно важным навыкам в школе, пособие для учителей, Санкт – Петербург: Образование – культура – 2009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Максимова Н.Ю. О Склонности подростков к аддиктивному поведению / Психол. журнал. 1996. Т.17. № 3.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Мухина В.С., Возрастная психология/ М., 2007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Панфилова М.А. Игротерапия общения: Тесты и коррекционные игры. Практическое пособие для психологов, педагогов и родителей. – М.: ГНОМ и Д, 2007.</w:t>
      </w:r>
    </w:p>
    <w:p w:rsidR="00ED5F7B" w:rsidRPr="00756E35" w:rsidRDefault="00ED5F7B" w:rsidP="00756E35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Усова Е.Б. Психология девиантного поведения: учебно-методический комплекс / Е. Б. Усова;  Минск, 2010</w:t>
      </w:r>
    </w:p>
    <w:p w:rsidR="00ED5F7B" w:rsidRPr="00756E35" w:rsidRDefault="00ED5F7B" w:rsidP="00756E35">
      <w:pPr>
        <w:widowControl w:val="0"/>
        <w:numPr>
          <w:ilvl w:val="0"/>
          <w:numId w:val="22"/>
        </w:numPr>
        <w:shd w:val="clear" w:color="auto" w:fill="FFFFFF"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Шваб Е.Д., Психологическая профилактика и коррекционно-развивающие занятия, Волгоград: «Учитель» - 2009.</w:t>
      </w:r>
    </w:p>
    <w:p w:rsidR="00ED5F7B" w:rsidRPr="00756E35" w:rsidRDefault="00ED5F7B" w:rsidP="00756E35">
      <w:pPr>
        <w:widowControl w:val="0"/>
        <w:numPr>
          <w:ilvl w:val="0"/>
          <w:numId w:val="22"/>
        </w:numPr>
        <w:shd w:val="clear" w:color="auto" w:fill="FFFFFF"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56E35">
        <w:rPr>
          <w:rFonts w:ascii="Times New Roman" w:hAnsi="Times New Roman" w:cs="Times New Roman"/>
          <w:sz w:val="24"/>
          <w:szCs w:val="24"/>
        </w:rPr>
        <w:t>Широкова И.Б., Тренинг самопознания для подростков, практическое пособие, Москва, Генезис, 2007</w:t>
      </w:r>
    </w:p>
    <w:p w:rsidR="001B58AA" w:rsidRPr="00756E35" w:rsidRDefault="001B58AA" w:rsidP="00756E3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B58AA" w:rsidRPr="00756E35" w:rsidSect="00EB3C28">
      <w:footerReference w:type="default" r:id="rId11"/>
      <w:pgSz w:w="11906" w:h="16838"/>
      <w:pgMar w:top="851" w:right="1418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234" w:rsidRDefault="003A7234">
      <w:pPr>
        <w:spacing w:after="0" w:line="240" w:lineRule="auto"/>
      </w:pPr>
      <w:r>
        <w:separator/>
      </w:r>
    </w:p>
  </w:endnote>
  <w:endnote w:type="continuationSeparator" w:id="0">
    <w:p w:rsidR="003A7234" w:rsidRDefault="003A7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08" w:rsidRDefault="00EB3C28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756E35">
      <w:rPr>
        <w:noProof/>
      </w:rPr>
      <w:t>6</w:t>
    </w:r>
    <w:r>
      <w:fldChar w:fldCharType="end"/>
    </w:r>
  </w:p>
  <w:p w:rsidR="00C24108" w:rsidRDefault="00C241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234" w:rsidRDefault="003A7234">
      <w:pPr>
        <w:spacing w:after="0" w:line="240" w:lineRule="auto"/>
      </w:pPr>
      <w:r>
        <w:separator/>
      </w:r>
    </w:p>
  </w:footnote>
  <w:footnote w:type="continuationSeparator" w:id="0">
    <w:p w:rsidR="003A7234" w:rsidRDefault="003A7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color w:val="auto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auto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auto"/>
      </w:r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Symbol"/>
        <w:color w:val="auto"/>
      </w:rPr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20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20"/>
      </w:rPr>
    </w:lvl>
  </w:abstractNum>
  <w:abstractNum w:abstractNumId="8">
    <w:nsid w:val="00000011"/>
    <w:multiLevelType w:val="singleLevel"/>
    <w:tmpl w:val="00000011"/>
    <w:name w:val="WW8Num19"/>
    <w:lvl w:ilvl="0">
      <w:start w:val="1"/>
      <w:numFmt w:val="bullet"/>
      <w:lvlText w:val=""/>
      <w:lvlJc w:val="left"/>
      <w:pPr>
        <w:tabs>
          <w:tab w:val="num" w:pos="1144"/>
        </w:tabs>
        <w:ind w:left="1144" w:hanging="360"/>
      </w:pPr>
      <w:rPr>
        <w:rFonts w:ascii="Wingdings" w:hAnsi="Wingdings" w:cs="Wingdings"/>
      </w:rPr>
    </w:lvl>
  </w:abstractNum>
  <w:abstractNum w:abstractNumId="9">
    <w:nsid w:val="00000035"/>
    <w:multiLevelType w:val="singleLevel"/>
    <w:tmpl w:val="00000035"/>
    <w:name w:val="WW8Num61"/>
    <w:lvl w:ilvl="0">
      <w:start w:val="1"/>
      <w:numFmt w:val="bullet"/>
      <w:lvlText w:val=""/>
      <w:lvlJc w:val="left"/>
      <w:pPr>
        <w:tabs>
          <w:tab w:val="num" w:pos="0"/>
        </w:tabs>
        <w:ind w:left="760" w:hanging="360"/>
      </w:pPr>
      <w:rPr>
        <w:rFonts w:ascii="Wingdings" w:hAnsi="Wingdings" w:cs="Wingdings"/>
      </w:rPr>
    </w:lvl>
  </w:abstractNum>
  <w:abstractNum w:abstractNumId="10">
    <w:nsid w:val="00000038"/>
    <w:multiLevelType w:val="singleLevel"/>
    <w:tmpl w:val="00000038"/>
    <w:name w:val="WW8Num67"/>
    <w:lvl w:ilvl="0">
      <w:start w:val="1"/>
      <w:numFmt w:val="bullet"/>
      <w:lvlText w:val=""/>
      <w:lvlJc w:val="left"/>
      <w:pPr>
        <w:tabs>
          <w:tab w:val="num" w:pos="0"/>
        </w:tabs>
        <w:ind w:left="760" w:hanging="360"/>
      </w:pPr>
      <w:rPr>
        <w:rFonts w:ascii="Wingdings" w:hAnsi="Wingdings" w:cs="Wingdings"/>
      </w:rPr>
    </w:lvl>
  </w:abstractNum>
  <w:abstractNum w:abstractNumId="11">
    <w:nsid w:val="00000039"/>
    <w:multiLevelType w:val="singleLevel"/>
    <w:tmpl w:val="00000039"/>
    <w:name w:val="WW8Num6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2">
    <w:nsid w:val="00000041"/>
    <w:multiLevelType w:val="singleLevel"/>
    <w:tmpl w:val="00000041"/>
    <w:name w:val="WW8Num7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3">
    <w:nsid w:val="00000043"/>
    <w:multiLevelType w:val="singleLevel"/>
    <w:tmpl w:val="00000043"/>
    <w:name w:val="WW8Num8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0000048"/>
    <w:multiLevelType w:val="singleLevel"/>
    <w:tmpl w:val="00000048"/>
    <w:name w:val="WW8Num8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5">
    <w:nsid w:val="0000004E"/>
    <w:multiLevelType w:val="multilevel"/>
    <w:tmpl w:val="7EBE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4F"/>
    <w:multiLevelType w:val="multilevel"/>
    <w:tmpl w:val="0000004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1066729"/>
    <w:multiLevelType w:val="hybridMultilevel"/>
    <w:tmpl w:val="CC9C2BD6"/>
    <w:lvl w:ilvl="0" w:tplc="35C41E5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22365"/>
    <w:multiLevelType w:val="hybridMultilevel"/>
    <w:tmpl w:val="636244B8"/>
    <w:lvl w:ilvl="0" w:tplc="CD9EAA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FB6187"/>
    <w:multiLevelType w:val="hybridMultilevel"/>
    <w:tmpl w:val="A0CA0BFE"/>
    <w:lvl w:ilvl="0" w:tplc="FA1A84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57E57"/>
    <w:multiLevelType w:val="hybridMultilevel"/>
    <w:tmpl w:val="8B1429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8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  <w:num w:numId="19">
    <w:abstractNumId w:val="1"/>
  </w:num>
  <w:num w:numId="20">
    <w:abstractNumId w:val="20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D1"/>
    <w:rsid w:val="00066FFD"/>
    <w:rsid w:val="0010189A"/>
    <w:rsid w:val="001B58AA"/>
    <w:rsid w:val="003739F5"/>
    <w:rsid w:val="003A7234"/>
    <w:rsid w:val="00522A92"/>
    <w:rsid w:val="00756E35"/>
    <w:rsid w:val="007801B9"/>
    <w:rsid w:val="00844FFD"/>
    <w:rsid w:val="008563C8"/>
    <w:rsid w:val="00876FD1"/>
    <w:rsid w:val="0091262C"/>
    <w:rsid w:val="0098291F"/>
    <w:rsid w:val="00B6300F"/>
    <w:rsid w:val="00C24108"/>
    <w:rsid w:val="00D31BB0"/>
    <w:rsid w:val="00D674C5"/>
    <w:rsid w:val="00D8002F"/>
    <w:rsid w:val="00E75B7D"/>
    <w:rsid w:val="00EB3C28"/>
    <w:rsid w:val="00ED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CA5AE-F4C4-454F-AC9B-21DF3693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02F"/>
    <w:pPr>
      <w:ind w:left="720"/>
      <w:contextualSpacing/>
    </w:pPr>
  </w:style>
  <w:style w:type="character" w:customStyle="1" w:styleId="c12c0">
    <w:name w:val="c12 c0"/>
    <w:basedOn w:val="a0"/>
    <w:rsid w:val="00066FFD"/>
  </w:style>
  <w:style w:type="character" w:styleId="a4">
    <w:name w:val="Emphasis"/>
    <w:qFormat/>
    <w:rsid w:val="00066FFD"/>
    <w:rPr>
      <w:i/>
      <w:iCs/>
    </w:rPr>
  </w:style>
  <w:style w:type="paragraph" w:styleId="a5">
    <w:name w:val="Body Text"/>
    <w:basedOn w:val="a"/>
    <w:link w:val="a6"/>
    <w:rsid w:val="00066FF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66F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10c3">
    <w:name w:val="c10 c3"/>
    <w:basedOn w:val="a"/>
    <w:rsid w:val="00066F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c10">
    <w:name w:val="c3 c10"/>
    <w:basedOn w:val="a"/>
    <w:rsid w:val="00066FF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3">
    <w:name w:val="c3"/>
    <w:basedOn w:val="a0"/>
    <w:rsid w:val="00ED5F7B"/>
  </w:style>
  <w:style w:type="paragraph" w:styleId="a7">
    <w:name w:val="footer"/>
    <w:basedOn w:val="a"/>
    <w:link w:val="a8"/>
    <w:rsid w:val="00EB3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rsid w:val="00EB3C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EB3C2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373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73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495114006514659"/>
          <c:y val="0.27376425855513309"/>
          <c:w val="0.43322475570032576"/>
          <c:h val="0.4030418250950570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% </c:v>
                </c:pt>
              </c:strCache>
            </c:strRef>
          </c:tx>
          <c:spPr>
            <a:solidFill>
              <a:srgbClr val="9999FF"/>
            </a:solidFill>
            <a:ln w="12694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FF00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00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00FF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отвержение</c:v>
                </c:pt>
                <c:pt idx="1">
                  <c:v>социальная желательность</c:v>
                </c:pt>
                <c:pt idx="2">
                  <c:v>симбиоз</c:v>
                </c:pt>
                <c:pt idx="3">
                  <c:v>гиперсоциализация</c:v>
                </c:pt>
                <c:pt idx="4">
                  <c:v>инфантилизация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27</c:v>
                </c:pt>
                <c:pt idx="1">
                  <c:v>27</c:v>
                </c:pt>
                <c:pt idx="2">
                  <c:v>13</c:v>
                </c:pt>
                <c:pt idx="3">
                  <c:v>27</c:v>
                </c:pt>
                <c:pt idx="4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отвержение</c:v>
                </c:pt>
                <c:pt idx="1">
                  <c:v>социальная желательность</c:v>
                </c:pt>
                <c:pt idx="2">
                  <c:v>симбиоз</c:v>
                </c:pt>
                <c:pt idx="3">
                  <c:v>гиперсоциализация</c:v>
                </c:pt>
                <c:pt idx="4">
                  <c:v>инфантилизация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отвержение</c:v>
                </c:pt>
                <c:pt idx="1">
                  <c:v>социальная желательность</c:v>
                </c:pt>
                <c:pt idx="2">
                  <c:v>симбиоз</c:v>
                </c:pt>
                <c:pt idx="3">
                  <c:v>гиперсоциализация</c:v>
                </c:pt>
                <c:pt idx="4">
                  <c:v>инфантилизация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4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195439739413679"/>
          <c:y val="9.8859315589353611E-2"/>
          <c:w val="0.2719869706840391"/>
          <c:h val="0.60076045627376429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1099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1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275541795665637E-2"/>
          <c:y val="0.24489795918367346"/>
          <c:w val="0.50619195046439625"/>
          <c:h val="0.5306122448979592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9999FF"/>
            </a:solidFill>
            <a:ln w="914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66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00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0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182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84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Благополучные</c:v>
                </c:pt>
                <c:pt idx="1">
                  <c:v>Семья "Группы риска"</c:v>
                </c:pt>
                <c:pt idx="2">
                  <c:v>Неблагополучные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20</c:v>
                </c:pt>
                <c:pt idx="1">
                  <c:v>60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914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Благополучные</c:v>
                </c:pt>
                <c:pt idx="1">
                  <c:v>Семья "Группы риска"</c:v>
                </c:pt>
                <c:pt idx="2">
                  <c:v>Неблагополучные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914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Благополучные</c:v>
                </c:pt>
                <c:pt idx="1">
                  <c:v>Семья "Группы риска"</c:v>
                </c:pt>
                <c:pt idx="2">
                  <c:v>Неблагополучные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9144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278637770897834"/>
          <c:y val="0.34693877551020408"/>
          <c:w val="0.28482972136222912"/>
          <c:h val="0.27346938775510204"/>
        </c:manualLayout>
      </c:layout>
      <c:overlay val="0"/>
      <c:spPr>
        <a:noFill/>
        <a:ln w="2286">
          <a:solidFill>
            <a:srgbClr val="000000"/>
          </a:solidFill>
          <a:prstDash val="solid"/>
        </a:ln>
      </c:spPr>
      <c:txPr>
        <a:bodyPr/>
        <a:lstStyle/>
        <a:p>
          <a:pPr>
            <a:defRPr sz="70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7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493150684931503E-2"/>
          <c:y val="0.23628691983122363"/>
          <c:w val="0.51750380517503802"/>
          <c:h val="0.56962025316455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9999FF"/>
            </a:solidFill>
            <a:ln w="12695">
              <a:solidFill>
                <a:srgbClr val="000000"/>
              </a:solidFill>
              <a:prstDash val="solid"/>
            </a:ln>
          </c:spPr>
          <c:explosion val="1"/>
          <c:dPt>
            <c:idx val="0"/>
            <c:bubble3D val="0"/>
          </c:dPt>
          <c:dPt>
            <c:idx val="1"/>
            <c:bubble3D val="0"/>
            <c:spPr>
              <a:solidFill>
                <a:srgbClr val="FF00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00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FF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9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Sheet1!$B$1:$E$1</c:f>
              <c:strCache>
                <c:ptCount val="4"/>
                <c:pt idx="0">
                  <c:v>Звезда</c:v>
                </c:pt>
                <c:pt idx="1">
                  <c:v>занимает устойчивое положение</c:v>
                </c:pt>
                <c:pt idx="2">
                  <c:v>Ограничен круг общения</c:v>
                </c:pt>
                <c:pt idx="3">
                  <c:v>Изгой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</c:v>
                </c:pt>
                <c:pt idx="1">
                  <c:v>27</c:v>
                </c:pt>
                <c:pt idx="2">
                  <c:v>40</c:v>
                </c:pt>
                <c:pt idx="3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Звезда</c:v>
                </c:pt>
                <c:pt idx="1">
                  <c:v>занимает устойчивое положение</c:v>
                </c:pt>
                <c:pt idx="2">
                  <c:v>Ограничен круг общения</c:v>
                </c:pt>
                <c:pt idx="3">
                  <c:v>Изгой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9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Звезда</c:v>
                </c:pt>
                <c:pt idx="1">
                  <c:v>занимает устойчивое положение</c:v>
                </c:pt>
                <c:pt idx="2">
                  <c:v>Ограничен круг общения</c:v>
                </c:pt>
                <c:pt idx="3">
                  <c:v>Изгой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9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2100456621004563"/>
          <c:y val="6.7510548523206745E-2"/>
          <c:w val="0.37290715372907152"/>
          <c:h val="0.83544303797468356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1285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884057971014493"/>
          <c:y val="0.25992779783393499"/>
          <c:w val="0.49275362318840582"/>
          <c:h val="0.4873646209386281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00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Sheet1!$B$1:$D$1</c:f>
              <c:strCache>
                <c:ptCount val="3"/>
                <c:pt idx="0">
                  <c:v>Высокий уровень</c:v>
                </c:pt>
                <c:pt idx="1">
                  <c:v>Повышенный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Sheet1!$B$2:$D$2</c:f>
              <c:numCache>
                <c:formatCode>0%</c:formatCode>
                <c:ptCount val="3"/>
                <c:pt idx="0">
                  <c:v>0.13</c:v>
                </c:pt>
                <c:pt idx="1">
                  <c:v>0.33</c:v>
                </c:pt>
                <c:pt idx="2">
                  <c:v>0.54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Высокий уровень</c:v>
                </c:pt>
                <c:pt idx="1">
                  <c:v>Повышенный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Высокий уровень</c:v>
                </c:pt>
                <c:pt idx="1">
                  <c:v>Повышенный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7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87187957972133"/>
          <c:y val="0.36823104693140796"/>
          <c:w val="0.25733086597613786"/>
          <c:h val="0.49415930631989391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0.40875</cdr:x>
      <cdr:y>0.494</cdr:y>
    </cdr:from>
    <cdr:to>
      <cdr:x>0.4185</cdr:x>
      <cdr:y>0.58525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90513" y="1237507"/>
          <a:ext cx="57021" cy="2285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2019-01-22T04:28:00Z</cp:lastPrinted>
  <dcterms:created xsi:type="dcterms:W3CDTF">2018-02-19T02:06:00Z</dcterms:created>
  <dcterms:modified xsi:type="dcterms:W3CDTF">2019-01-22T04:28:00Z</dcterms:modified>
</cp:coreProperties>
</file>