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160" w:line="259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tl w:val="off"/>
        </w:rPr>
        <w:t xml:space="preserve">                                            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  <w:t xml:space="preserve"> Физминутка  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                                     Приложение 11</w:t>
      </w:r>
    </w:p>
    <w:p>
      <w:pPr>
        <w:jc w:val="center"/>
        <w:spacing w:after="160" w:line="259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</w:p>
    <w:p>
      <w:pPr>
        <w:ind w:firstLine="0"/>
        <w:jc w:val="center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сторону от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кладываем </w:t>
      </w:r>
      <w:r>
        <w:rPr>
          <w:rFonts w:ascii="Times New Roman" w:eastAsia="Times New Roman" w:hAnsi="Times New Roman" w:hint="default"/>
          <w:sz w:val="28"/>
          <w:szCs w:val="28"/>
        </w:rPr>
        <w:t>учебник и тетрадь,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В работе нужен отдых – это надо знать!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Пальчики по парте отбивают такт,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Словно на рояле играет музыкант.</w:t>
      </w:r>
    </w:p>
    <w:p>
      <w:pPr>
        <w:ind w:firstLine="0"/>
        <w:jc w:val="center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 теперь мы встанем с ваших мест друзья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И поаплодируем – без этого нельзя!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Влево мы посмотрим, а затем направо,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А теперь, ребятки, мы посмотрим прямо.</w:t>
      </w:r>
    </w:p>
    <w:p>
      <w:pPr>
        <w:ind w:firstLine="0"/>
        <w:jc w:val="center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Глазками покрутим по стрелке часовой,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Вверх поднимем ручки, сомкнём над головой.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Сделаем глубокий очень вдох, друзья,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Жить без кислорода нам никак нельзя.</w:t>
      </w:r>
    </w:p>
    <w:p>
      <w:pPr>
        <w:jc w:val="center"/>
        <w:spacing w:after="160" w:line="259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Ручки опустили, на носочки поднялись,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Сели, успокоились, работой занялись.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Взяли мы учебник, взяли мы тетрадь,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Снова мы готовы знания получать!</w:t>
      </w: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2021-03-23T11:29:31Z</dcterms:created>
  <dcterms:modified xsi:type="dcterms:W3CDTF">2021-03-23T11:32:14Z</dcterms:modified>
  <cp:version>0900.0100.01</cp:version>
</cp:coreProperties>
</file>