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8C" w:rsidRDefault="00E74C8C" w:rsidP="00E74C8C">
      <w:pPr>
        <w:suppressAutoHyphens/>
        <w:autoSpaceDE w:val="0"/>
        <w:autoSpaceDN w:val="0"/>
        <w:adjustRightInd w:val="0"/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E74C8C" w:rsidRDefault="00E74C8C" w:rsidP="00E74C8C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Департамента здравоохранения города Москвы</w:t>
      </w:r>
    </w:p>
    <w:p w:rsidR="00E74C8C" w:rsidRDefault="00E74C8C" w:rsidP="0080713B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eastAsia="ar-SA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МЕДИЦИНСКИЙ КОЛЛЕДЖ </w:t>
      </w:r>
      <w:r>
        <w:rPr>
          <w:rFonts w:ascii="Times New Roman" w:eastAsia="Calibri" w:hAnsi="Times New Roman" w:cs="Times New Roman"/>
          <w:caps/>
          <w:sz w:val="28"/>
          <w:szCs w:val="28"/>
          <w:lang w:eastAsia="ar-SA"/>
        </w:rPr>
        <w:t xml:space="preserve">№5» </w:t>
      </w:r>
    </w:p>
    <w:p w:rsidR="0080713B" w:rsidRPr="0080713B" w:rsidRDefault="0080713B" w:rsidP="0080713B">
      <w:pPr>
        <w:spacing w:after="0" w:line="240" w:lineRule="auto"/>
        <w:ind w:left="-284" w:right="-136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E74C8C" w:rsidRDefault="00E74C8C" w:rsidP="00E74C8C">
      <w:pPr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74C8C" w:rsidRDefault="00E74C8C" w:rsidP="00E74C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281D" w:rsidRDefault="00444F31" w:rsidP="00E74C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Роль информированности населения в профилактике </w:t>
      </w:r>
    </w:p>
    <w:p w:rsidR="00444F31" w:rsidRDefault="00444F31" w:rsidP="00E74C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острых нарушений мозгового кровообращения</w:t>
      </w:r>
    </w:p>
    <w:p w:rsidR="0014281D" w:rsidRDefault="0014281D" w:rsidP="00E74C8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C8C" w:rsidRDefault="00E74C8C" w:rsidP="00E74C8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Цыбина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Анастасия Дмитриевна</w:t>
      </w:r>
    </w:p>
    <w:p w:rsidR="00E74C8C" w:rsidRPr="00444F31" w:rsidRDefault="00E74C8C" w:rsidP="00E74C8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4F31">
        <w:rPr>
          <w:rFonts w:ascii="Times New Roman" w:eastAsia="Calibri" w:hAnsi="Times New Roman" w:cs="Times New Roman"/>
          <w:sz w:val="24"/>
          <w:szCs w:val="24"/>
        </w:rPr>
        <w:t>студентка 3 курса, специальность 31.02.01 Лечебное дело</w:t>
      </w:r>
    </w:p>
    <w:p w:rsidR="00E74C8C" w:rsidRDefault="00E74C8C" w:rsidP="00E74C8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научный руководитель –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Фричинская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Ольга Евгеньевна, </w:t>
      </w:r>
    </w:p>
    <w:p w:rsidR="0014281D" w:rsidRDefault="0014281D" w:rsidP="00E74C8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преподаватель высшей квалификационной категории </w:t>
      </w:r>
    </w:p>
    <w:p w:rsidR="00E74C8C" w:rsidRDefault="0014281D" w:rsidP="00E74C8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профессиональных модулей </w:t>
      </w:r>
      <w:r w:rsidR="0080713B">
        <w:rPr>
          <w:rFonts w:ascii="Times New Roman" w:eastAsia="Calibri" w:hAnsi="Times New Roman" w:cs="Times New Roman"/>
          <w:sz w:val="24"/>
          <w:szCs w:val="24"/>
        </w:rPr>
        <w:t xml:space="preserve">ГБПОУ ДЗМ «МК№5» </w:t>
      </w:r>
    </w:p>
    <w:p w:rsidR="00E74C8C" w:rsidRDefault="00E74C8C" w:rsidP="00A20E5D">
      <w:pPr>
        <w:spacing w:before="120" w:after="216" w:line="240" w:lineRule="auto"/>
        <w:rPr>
          <w:rFonts w:ascii="Times New Roman" w:eastAsia="Times New Roman" w:hAnsi="Times New Roman" w:cs="Times New Roman"/>
          <w:b/>
          <w:color w:val="535353"/>
          <w:sz w:val="28"/>
          <w:szCs w:val="28"/>
          <w:lang w:eastAsia="ru-RU"/>
        </w:rPr>
      </w:pPr>
    </w:p>
    <w:p w:rsidR="00E74C8C" w:rsidRDefault="00E74C8C" w:rsidP="00FA57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73E" w:rsidRPr="00FA573E" w:rsidRDefault="00FA573E" w:rsidP="00FA573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FA573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</w:t>
      </w:r>
      <w:r w:rsidRPr="00FA573E">
        <w:rPr>
          <w:rFonts w:ascii="Times New Roman" w:eastAsia="Times New Roman" w:hAnsi="Times New Roman" w:cs="Times New Roman"/>
          <w:lang w:eastAsia="ru-RU"/>
        </w:rPr>
        <w:t>«</w:t>
      </w:r>
      <w:r w:rsidRPr="00FA573E">
        <w:rPr>
          <w:rFonts w:ascii="Times New Roman" w:eastAsia="Times New Roman" w:hAnsi="Times New Roman" w:cs="Times New Roman"/>
          <w:i/>
          <w:lang w:eastAsia="ru-RU"/>
        </w:rPr>
        <w:t>Болезнь проще предупредить, чем лечить»</w:t>
      </w:r>
    </w:p>
    <w:p w:rsidR="00FA573E" w:rsidRPr="00FA573E" w:rsidRDefault="00FA573E" w:rsidP="00FA573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</w:t>
      </w:r>
      <w:r w:rsidRPr="00FA573E">
        <w:rPr>
          <w:rFonts w:ascii="Times New Roman" w:eastAsia="Times New Roman" w:hAnsi="Times New Roman" w:cs="Times New Roman"/>
          <w:i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</w:t>
      </w:r>
      <w:r w:rsidRPr="00FA573E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</w:t>
      </w:r>
      <w:r w:rsidRPr="00FA573E">
        <w:rPr>
          <w:rFonts w:ascii="Times New Roman" w:eastAsia="Times New Roman" w:hAnsi="Times New Roman" w:cs="Times New Roman"/>
          <w:i/>
          <w:lang w:eastAsia="ru-RU"/>
        </w:rPr>
        <w:t>Гиппократ(с).</w:t>
      </w:r>
    </w:p>
    <w:p w:rsidR="00FA573E" w:rsidRPr="00FA573E" w:rsidRDefault="00FA573E" w:rsidP="00A20E5D">
      <w:pPr>
        <w:spacing w:before="120" w:after="216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372C7F" w:rsidRDefault="00BE0EAC" w:rsidP="00372C7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Актуальность</w:t>
      </w:r>
      <w:r w:rsidR="00372C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исследования:</w:t>
      </w:r>
    </w:p>
    <w:p w:rsidR="00A20E5D" w:rsidRPr="0014281D" w:rsidRDefault="00A20E5D" w:rsidP="00372C7F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населения о факторах риска, возможности профилактики и лечения играет важную роль в снижении заболеваемости и смертности при многих, в том числе цереброваскулярных, заболеваниях. </w:t>
      </w:r>
      <w:proofErr w:type="gramStart"/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r w:rsidR="00E2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лечения</w:t>
      </w:r>
      <w:proofErr w:type="gramEnd"/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 острыми нарушениями мозгового кровообращения (ОНМК) во многом зависят от своевременного обращения за медицинской помощью, что в свою очередь крайне затруднительно без высокого уровня осведомленности о симптомах и признаках инсульта как самих пациентов, так и окружающих.</w:t>
      </w:r>
    </w:p>
    <w:p w:rsidR="00372C7F" w:rsidRDefault="00A20E5D" w:rsidP="00372C7F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Цель исследования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20E5D" w:rsidRDefault="00372C7F" w:rsidP="00372C7F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зучить и оценить </w:t>
      </w:r>
      <w:r w:rsidR="00AD37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информированности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о факторах риска, симптомах и признаках, способах профилактики ОНМК</w:t>
      </w:r>
      <w:r w:rsidR="00BE0EAC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C7F" w:rsidRDefault="00372C7F" w:rsidP="00372C7F">
      <w:pPr>
        <w:tabs>
          <w:tab w:val="left" w:pos="426"/>
          <w:tab w:val="left" w:pos="851"/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 исследования:</w:t>
      </w:r>
    </w:p>
    <w:p w:rsidR="00372C7F" w:rsidRPr="00372C7F" w:rsidRDefault="00372C7F" w:rsidP="00372C7F">
      <w:pPr>
        <w:pStyle w:val="a6"/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методики исследования</w:t>
      </w:r>
    </w:p>
    <w:p w:rsidR="00372C7F" w:rsidRPr="00372C7F" w:rsidRDefault="00372C7F" w:rsidP="00372C7F">
      <w:pPr>
        <w:pStyle w:val="a6"/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первичной информации </w:t>
      </w:r>
    </w:p>
    <w:p w:rsidR="00372C7F" w:rsidRPr="00372C7F" w:rsidRDefault="00372C7F" w:rsidP="00372C7F">
      <w:pPr>
        <w:pStyle w:val="a6"/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полученной информации согласно методик</w:t>
      </w:r>
      <w:r w:rsidR="00AD37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372C7F" w:rsidRPr="00372C7F" w:rsidRDefault="00372C7F" w:rsidP="00372C7F">
      <w:pPr>
        <w:pStyle w:val="a6"/>
        <w:numPr>
          <w:ilvl w:val="0"/>
          <w:numId w:val="5"/>
        </w:numPr>
        <w:tabs>
          <w:tab w:val="left" w:pos="426"/>
          <w:tab w:val="left" w:pos="851"/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C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результатов исследования</w:t>
      </w:r>
    </w:p>
    <w:p w:rsidR="00372C7F" w:rsidRPr="0014281D" w:rsidRDefault="00372C7F" w:rsidP="00A20E5D">
      <w:p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73E" w:rsidRDefault="00BE0EAC" w:rsidP="00FA573E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3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Материал и методы:</w:t>
      </w:r>
      <w:r w:rsidRPr="0014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D37D4" w:rsidRDefault="00AD37D4" w:rsidP="00FA573E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уровня информированности населения в качестве метода получения первичной информации был выбран очный опрос на улицах г. Москвы. При опросе использовалась равномерная выборка респондентов по следующим критериям: пол, возраст, уровень образования. Выборка по другим критериям не использовалась ввиду ограниченности сроков исследования, а также для упрощения опроса и обработки результатов.</w:t>
      </w:r>
    </w:p>
    <w:p w:rsidR="00C32C1C" w:rsidRPr="0014281D" w:rsidRDefault="00FA573E" w:rsidP="00FA573E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снову исследования</w:t>
      </w:r>
      <w:r w:rsidR="00C32C1C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результаты опроса 100 респондентов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2C1C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опрошенных на улицах г. Москвы в рамках проведения Национального дня здоровья 14 сентября 2019 г.</w:t>
      </w:r>
    </w:p>
    <w:p w:rsidR="00C32C1C" w:rsidRDefault="00C32C1C" w:rsidP="00FA573E">
      <w:pPr>
        <w:pStyle w:val="a6"/>
        <w:numPr>
          <w:ilvl w:val="0"/>
          <w:numId w:val="6"/>
        </w:num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Половозрастное ра</w:t>
      </w:r>
      <w:r w:rsidR="0014281D"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спределение респондентов, а так</w:t>
      </w:r>
      <w:r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распределение </w:t>
      </w:r>
      <w:r w:rsidR="00BE0EAC"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уровню образования</w:t>
      </w:r>
      <w:r w:rsidR="0039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на диаграмме:</w:t>
      </w:r>
      <w:bookmarkStart w:id="0" w:name="_GoBack"/>
      <w:bookmarkEnd w:id="0"/>
    </w:p>
    <w:p w:rsidR="00393EF0" w:rsidRDefault="00393EF0" w:rsidP="00393EF0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EF0" w:rsidRDefault="000B6862" w:rsidP="000B6862">
      <w:pPr>
        <w:pStyle w:val="a6"/>
        <w:spacing w:before="120" w:after="216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393EF0">
        <w:rPr>
          <w:noProof/>
          <w:lang w:eastAsia="ru-RU"/>
        </w:rPr>
        <w:drawing>
          <wp:inline distT="0" distB="0" distL="0" distR="0" wp14:anchorId="77985DBD" wp14:editId="2B510C47">
            <wp:extent cx="4200525" cy="220980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93EF0" w:rsidRDefault="00393EF0" w:rsidP="000B6862">
      <w:pPr>
        <w:pStyle w:val="a6"/>
        <w:spacing w:before="120" w:after="216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862" w:rsidRDefault="000B6862" w:rsidP="000B6862">
      <w:pPr>
        <w:pStyle w:val="a6"/>
        <w:spacing w:before="120" w:after="216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862" w:rsidRDefault="000B6862" w:rsidP="000B6862">
      <w:pPr>
        <w:pStyle w:val="a6"/>
        <w:spacing w:before="120" w:after="216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EF0" w:rsidRDefault="00A43C75" w:rsidP="00E2343D">
      <w:pPr>
        <w:pStyle w:val="a6"/>
        <w:spacing w:before="120" w:after="216" w:line="240" w:lineRule="auto"/>
        <w:ind w:left="-1134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375908" wp14:editId="4F5F8017">
            <wp:extent cx="3419475" cy="21431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E2343D">
        <w:rPr>
          <w:noProof/>
          <w:lang w:eastAsia="ru-RU"/>
        </w:rPr>
        <w:drawing>
          <wp:inline distT="0" distB="0" distL="0" distR="0" wp14:anchorId="5D9DBE5F" wp14:editId="079D1995">
            <wp:extent cx="3267075" cy="215265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43C75" w:rsidRPr="00FA41D8" w:rsidRDefault="00A43C75" w:rsidP="00FA41D8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C75" w:rsidRDefault="00A43C75" w:rsidP="00393EF0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77" w:rsidRDefault="00447B77" w:rsidP="00393EF0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77" w:rsidRDefault="00447B77" w:rsidP="00393EF0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77" w:rsidRPr="00FA573E" w:rsidRDefault="00447B77" w:rsidP="00393EF0">
      <w:pPr>
        <w:pStyle w:val="a6"/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EAC" w:rsidRDefault="00A20E5D" w:rsidP="00FA573E">
      <w:pPr>
        <w:pStyle w:val="a6"/>
        <w:numPr>
          <w:ilvl w:val="0"/>
          <w:numId w:val="6"/>
        </w:numPr>
        <w:spacing w:before="120" w:after="21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анкетирования пациентов использовали</w:t>
      </w:r>
      <w:r w:rsidR="00BE0EAC" w:rsidRP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авторский опр</w:t>
      </w:r>
      <w:r w:rsidR="00FA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осный лист, приведенный </w:t>
      </w:r>
      <w:r w:rsidR="00E72D1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89"/>
      </w:tblGrid>
      <w:tr w:rsidR="00E72D1F" w:rsidTr="00E72D1F">
        <w:trPr>
          <w:trHeight w:val="6072"/>
        </w:trPr>
        <w:tc>
          <w:tcPr>
            <w:tcW w:w="7389" w:type="dxa"/>
          </w:tcPr>
          <w:p w:rsidR="00E72D1F" w:rsidRDefault="00E72D1F" w:rsidP="00F57467">
            <w:pPr>
              <w:tabs>
                <w:tab w:val="left" w:pos="127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         М / Ж          Возраст _____</w:t>
            </w:r>
            <w:r w:rsidR="00F5746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Образование ______________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«Какие факторы риска развития инсульта Вам известны?»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артериальная гипертензия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атеросклероз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ожирение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злоупотребление алкоголем 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курение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сахарный диабет</w:t>
            </w:r>
          </w:p>
          <w:p w:rsidR="00E72D1F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депрессия</w:t>
            </w:r>
          </w:p>
          <w:p w:rsidR="00E72D1F" w:rsidRPr="00C15EEC" w:rsidRDefault="00E72D1F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в выборе ответа</w:t>
            </w:r>
          </w:p>
          <w:p w:rsidR="00C15EEC" w:rsidRDefault="00C15EEC" w:rsidP="00E72D1F">
            <w:pPr>
              <w:pStyle w:val="a6"/>
              <w:numPr>
                <w:ilvl w:val="0"/>
                <w:numId w:val="2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генетическая предрасположенность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«Какие симптомы?»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внезапное развитие асимметрии лица и нарушение речи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нарушение движений в руке и/или ноге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внезапно проявившееся онемение в руке и/или ноге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внезапное головокружение 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внезапная головная боль 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внезапная утрата сознания </w:t>
            </w:r>
          </w:p>
          <w:p w:rsidR="00E72D1F" w:rsidRDefault="00E72D1F" w:rsidP="00E72D1F">
            <w:pPr>
              <w:pStyle w:val="a6"/>
              <w:numPr>
                <w:ilvl w:val="0"/>
                <w:numId w:val="3"/>
              </w:numPr>
              <w:spacing w:line="254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в выборе ответа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«Что необходимо сделать в первую очередь при развитии инсульта»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____________________________________________________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____________________________________________________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____________________________________________________</w:t>
            </w:r>
          </w:p>
          <w:p w:rsidR="00E72D1F" w:rsidRPr="00D31325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«Какие способы профилактики инсульта вы знаете?»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E72D1F" w:rsidRDefault="00E72D1F" w:rsidP="00E72D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</w:t>
            </w:r>
          </w:p>
          <w:p w:rsidR="00696596" w:rsidRDefault="00696596" w:rsidP="00E72D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68A3" w:rsidRDefault="005B68A3" w:rsidP="00D601B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1B0" w:rsidRDefault="00BE0EAC" w:rsidP="00D601B0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01B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Результаты:</w:t>
      </w:r>
    </w:p>
    <w:p w:rsidR="00393EF0" w:rsidRDefault="00BE0EAC" w:rsidP="00D601B0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0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01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</w:t>
      </w:r>
      <w:r w:rsidRPr="00142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результате анализа заполненных опро</w:t>
      </w:r>
      <w:r w:rsidR="00B0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сных листов выявлены следующая статистика, изложенная в гистограммах</w:t>
      </w:r>
      <w:r w:rsidRPr="00142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89145B" w:rsidRPr="00FA41D8" w:rsidRDefault="005B68A3" w:rsidP="00FA41D8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A2205C9" wp14:editId="1644BD0C">
            <wp:extent cx="5895975" cy="28289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9145B" w:rsidRPr="00FA41D8" w:rsidRDefault="0089145B" w:rsidP="00FA41D8">
      <w:pPr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593EF05" wp14:editId="678F7DF3">
            <wp:extent cx="6000750" cy="24193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68A3" w:rsidRDefault="009A0278" w:rsidP="00D601B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75D7E3F" wp14:editId="4F1C1EBA">
            <wp:extent cx="6000750" cy="212407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A0278" w:rsidRPr="0014281D" w:rsidRDefault="009A0278" w:rsidP="00D601B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5599AB0" wp14:editId="4CE90C13">
            <wp:extent cx="6000750" cy="21336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20E5D" w:rsidRPr="00D601B0" w:rsidRDefault="00D601B0" w:rsidP="00D601B0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Выводы:</w:t>
      </w:r>
    </w:p>
    <w:p w:rsidR="00A20E5D" w:rsidRPr="0014281D" w:rsidRDefault="00A20E5D" w:rsidP="00D601B0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показали результаты </w:t>
      </w:r>
      <w:r w:rsidR="003C13BE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опроса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ин</w:t>
      </w:r>
      <w:r w:rsidR="003C13BE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формированы по вопросам 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ОНМК женщины, имеющие высшее или среднее специальное образование.</w:t>
      </w:r>
      <w:r w:rsidR="00F5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Выявлена прямая корреляция между уровнем образования и информированностью. Также выявлена обратная зависимость между возрастом и информированностью. Выявлена более низкая информированность для мужчин относительно женщин с сохранением корреляции по уровню образования.</w:t>
      </w:r>
    </w:p>
    <w:p w:rsidR="00A20E5D" w:rsidRPr="0014281D" w:rsidRDefault="00A20E5D" w:rsidP="00D601B0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проведенного нами исследования демонстрируют достаточно высокий уровень осведомленности социально активного 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населения </w:t>
      </w:r>
      <w:r w:rsidR="00F5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(возрастная группа 18-35) 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факторах риска ОНМК – более половины респондентов относят к ним артериальную гипер</w:t>
      </w:r>
      <w:r w:rsidR="00D6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тензию, атеросклероз, ожирение и 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сахарный диабет.</w:t>
      </w:r>
      <w:r w:rsidR="00F5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0E5D" w:rsidRPr="0014281D" w:rsidRDefault="00A20E5D" w:rsidP="00B26069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большинстве анкет были верно указаны основные признаки инсульта и обозначена необходимость немедленного вызова бригады скорой помощи, однако не все анкетируемые были осведомлены об альтернативных алгоритмах действий при развитии ОНМК.</w:t>
      </w:r>
    </w:p>
    <w:p w:rsidR="00A20E5D" w:rsidRPr="0014281D" w:rsidRDefault="00A20E5D" w:rsidP="00B26069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знаний респондентов о способах профилактики ОН</w:t>
      </w:r>
      <w:r w:rsidR="00861B34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МК оказался достаточно высоким.</w:t>
      </w:r>
    </w:p>
    <w:p w:rsidR="00A20E5D" w:rsidRDefault="00A20E5D" w:rsidP="00B26069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Очевидно, что уровень информированности об инсульте населения в целом существенно ниже, чем социально активных групп. </w:t>
      </w:r>
    </w:p>
    <w:p w:rsidR="00E2343D" w:rsidRDefault="00E2343D" w:rsidP="00E2343D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будущий фельдшер, считаю наиболее важным информирование населения о факторах риска, пропаганду здорового образа жизни, своевременное обращение в медицинские учреждения для прохождения диспансеризации.</w:t>
      </w:r>
    </w:p>
    <w:p w:rsidR="00E2343D" w:rsidRDefault="00E2343D" w:rsidP="00E2343D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современный темп жизни, нехватку времени у населения на посещение медицинских учреждений, считаю проведение акций по повышению доступности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профосмотров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существенно способствует как вопросам пропаганды ЗОЖ, так и ранней диагностики заболеваний, в том числе связанным с ОНМК. </w:t>
      </w:r>
    </w:p>
    <w:p w:rsidR="00E2343D" w:rsidRPr="0014281D" w:rsidRDefault="00E2343D" w:rsidP="00E2343D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как волонтеры, принимаем в данных акциях регулярное активное участие и видим от них действительную пользу.</w:t>
      </w:r>
    </w:p>
    <w:p w:rsidR="00B26069" w:rsidRDefault="00D601B0" w:rsidP="00B26069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Роль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фельдшера в предупреждении ОНМК:</w:t>
      </w:r>
    </w:p>
    <w:p w:rsidR="008D0E48" w:rsidRPr="0014281D" w:rsidRDefault="00B26069" w:rsidP="00B26069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Важнейшей 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предпосылкой эффективного лечения является: своевременное оказание неотложной квалифицированной медицинской помощи пациентам с </w:t>
      </w:r>
      <w:r w:rsidR="00D601B0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резвившимися</w:t>
      </w:r>
      <w:r w:rsidR="00A20E5D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острыми нарушениями мозгового кровообращения</w:t>
      </w:r>
      <w:r w:rsidR="008D0E48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E48" w:rsidRDefault="00A20E5D" w:rsidP="00B26069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 может столкнуться с ОНМК не только на этапе диагностики и оказания неотложной помощи, но и работать с пациентами на предупреждение ОНМК</w:t>
      </w:r>
      <w:r w:rsidR="008D0E48"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634" w:rsidRDefault="00A40634" w:rsidP="00A40634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Фельдшер должен знать, что существует две группы факторов риска развития ОНМК:</w:t>
      </w:r>
    </w:p>
    <w:p w:rsidR="00A40634" w:rsidRDefault="00A40634" w:rsidP="00A40634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Модифицируемые, на которые можно воздействовать и добиться уменьшения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тоты инсульта.</w:t>
      </w:r>
    </w:p>
    <w:p w:rsidR="00A40634" w:rsidRDefault="00A40634" w:rsidP="00A40634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</w:t>
      </w:r>
      <w:r w:rsidRPr="0014281D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модифицируемые, которые нельзя изменить, но можно, зная о них, предпринять профилактические шаги, особенно при наличии других факторов риска.</w:t>
      </w:r>
    </w:p>
    <w:p w:rsidR="00447B77" w:rsidRDefault="00447B77" w:rsidP="00A40634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77" w:rsidRDefault="00447B77" w:rsidP="00A40634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634" w:rsidRPr="000D7F30" w:rsidRDefault="00A40634" w:rsidP="000D7F30">
      <w:pPr>
        <w:spacing w:before="120" w:after="12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7F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Для борьбы с факторами риска развития ОНМК фельдшер обязан: </w:t>
      </w:r>
    </w:p>
    <w:p w:rsidR="00A40634" w:rsidRPr="00B26069" w:rsidRDefault="00A40634" w:rsidP="00A40634">
      <w:pPr>
        <w:pStyle w:val="a6"/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2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ести пропаганду ЗОЖ; </w:t>
      </w:r>
    </w:p>
    <w:p w:rsidR="00A40634" w:rsidRPr="00B26069" w:rsidRDefault="00A40634" w:rsidP="00A40634">
      <w:pPr>
        <w:pStyle w:val="a6"/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роводить регулярную санитарно- просветительскую работу среди всего населения; </w:t>
      </w:r>
    </w:p>
    <w:p w:rsidR="00A40634" w:rsidRDefault="00A40634" w:rsidP="00A40634">
      <w:pPr>
        <w:pStyle w:val="a6"/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ктивно привлекать жителей к прохождению диспансеризации взрослого населения,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мед активность.</w:t>
      </w:r>
    </w:p>
    <w:p w:rsidR="00A40634" w:rsidRPr="00B26069" w:rsidRDefault="00A40634" w:rsidP="00A40634">
      <w:pPr>
        <w:pStyle w:val="a6"/>
        <w:spacing w:before="120" w:after="120" w:line="240" w:lineRule="auto"/>
        <w:ind w:left="142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0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Показатель мед активности:</w:t>
      </w:r>
    </w:p>
    <w:p w:rsidR="00A40634" w:rsidRDefault="00A40634" w:rsidP="00A40634">
      <w:pPr>
        <w:pStyle w:val="a6"/>
        <w:numPr>
          <w:ilvl w:val="2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диспансеризация;</w:t>
      </w:r>
    </w:p>
    <w:p w:rsidR="00A40634" w:rsidRPr="00E2343D" w:rsidRDefault="00A40634" w:rsidP="00E2343D">
      <w:pPr>
        <w:pStyle w:val="a6"/>
        <w:numPr>
          <w:ilvl w:val="2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0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рекомендаций, назначенных лечащим врачом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66F8" w:rsidRPr="00F57467" w:rsidRDefault="00F366F8" w:rsidP="00F366F8">
      <w:pPr>
        <w:rPr>
          <w:rFonts w:ascii="Times New Roman" w:hAnsi="Times New Roman" w:cs="Times New Roman"/>
          <w:i/>
          <w:sz w:val="28"/>
          <w:szCs w:val="28"/>
        </w:rPr>
      </w:pPr>
      <w:r w:rsidRPr="00F57467">
        <w:rPr>
          <w:rFonts w:ascii="Times New Roman" w:hAnsi="Times New Roman" w:cs="Times New Roman"/>
          <w:i/>
          <w:sz w:val="28"/>
          <w:szCs w:val="28"/>
        </w:rPr>
        <w:t>Заключение</w:t>
      </w:r>
      <w:r w:rsidR="00F57467">
        <w:rPr>
          <w:rFonts w:ascii="Times New Roman" w:hAnsi="Times New Roman" w:cs="Times New Roman"/>
          <w:i/>
          <w:sz w:val="28"/>
          <w:szCs w:val="28"/>
        </w:rPr>
        <w:t>:</w:t>
      </w:r>
    </w:p>
    <w:p w:rsidR="000D7F30" w:rsidRDefault="00F366F8" w:rsidP="000D7F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281D">
        <w:rPr>
          <w:rFonts w:ascii="Times New Roman" w:hAnsi="Times New Roman" w:cs="Times New Roman"/>
          <w:sz w:val="28"/>
          <w:szCs w:val="28"/>
        </w:rPr>
        <w:t>Заболевания головного мозга являются актуальным разделом клинической медицины и имеют не только медицинское, но и социальное значение, так как являются одной из ведущих причин заболеваемости, смертности и инвалидности во всем мире. На протяжении последнего десятилетия отмечается значительный рост числа сосудистых заболеваний головного мозга у людей молодого и среднего возраста, которые на ранних стадиях трудно</w:t>
      </w:r>
      <w:r w:rsidR="00BD69DC" w:rsidRPr="0014281D">
        <w:rPr>
          <w:rFonts w:ascii="Times New Roman" w:hAnsi="Times New Roman" w:cs="Times New Roman"/>
          <w:sz w:val="28"/>
          <w:szCs w:val="28"/>
        </w:rPr>
        <w:t xml:space="preserve"> диагностировать</w:t>
      </w:r>
      <w:r w:rsidRPr="0014281D">
        <w:rPr>
          <w:rFonts w:ascii="Times New Roman" w:hAnsi="Times New Roman" w:cs="Times New Roman"/>
          <w:sz w:val="28"/>
          <w:szCs w:val="28"/>
        </w:rPr>
        <w:t>, а на поздн</w:t>
      </w:r>
      <w:r w:rsidR="00BD69DC" w:rsidRPr="0014281D">
        <w:rPr>
          <w:rFonts w:ascii="Times New Roman" w:hAnsi="Times New Roman" w:cs="Times New Roman"/>
          <w:sz w:val="28"/>
          <w:szCs w:val="28"/>
        </w:rPr>
        <w:t>их - эффективно лечить.</w:t>
      </w:r>
    </w:p>
    <w:p w:rsidR="00BD69DC" w:rsidRPr="0014281D" w:rsidRDefault="00F366F8" w:rsidP="000D7F3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4281D">
        <w:rPr>
          <w:rFonts w:ascii="Times New Roman" w:hAnsi="Times New Roman" w:cs="Times New Roman"/>
          <w:sz w:val="28"/>
          <w:szCs w:val="28"/>
        </w:rPr>
        <w:t xml:space="preserve">Особая роль в профилактике </w:t>
      </w:r>
      <w:r w:rsidR="00BD69DC" w:rsidRPr="0014281D">
        <w:rPr>
          <w:rFonts w:ascii="Times New Roman" w:hAnsi="Times New Roman" w:cs="Times New Roman"/>
          <w:sz w:val="28"/>
          <w:szCs w:val="28"/>
        </w:rPr>
        <w:t>ОНМК</w:t>
      </w:r>
      <w:r w:rsidRPr="0014281D">
        <w:rPr>
          <w:rFonts w:ascii="Times New Roman" w:hAnsi="Times New Roman" w:cs="Times New Roman"/>
          <w:sz w:val="28"/>
          <w:szCs w:val="28"/>
        </w:rPr>
        <w:t xml:space="preserve"> отводится среднему медицинскому работнику, который должен</w:t>
      </w:r>
      <w:r w:rsidR="00BD69DC" w:rsidRPr="0014281D">
        <w:rPr>
          <w:rFonts w:ascii="Times New Roman" w:hAnsi="Times New Roman" w:cs="Times New Roman"/>
          <w:sz w:val="28"/>
          <w:szCs w:val="28"/>
        </w:rPr>
        <w:t xml:space="preserve"> своевременно не только диагностировать ОНМК, но и вести профилактическую работу. </w:t>
      </w:r>
    </w:p>
    <w:p w:rsidR="00F366F8" w:rsidRPr="00F57467" w:rsidRDefault="00F366F8" w:rsidP="00F366F8">
      <w:pPr>
        <w:rPr>
          <w:rFonts w:ascii="Times New Roman" w:hAnsi="Times New Roman" w:cs="Times New Roman"/>
          <w:i/>
          <w:sz w:val="28"/>
          <w:szCs w:val="28"/>
        </w:rPr>
      </w:pPr>
      <w:r w:rsidRPr="00F57467">
        <w:rPr>
          <w:rFonts w:ascii="Times New Roman" w:hAnsi="Times New Roman" w:cs="Times New Roman"/>
          <w:i/>
          <w:sz w:val="28"/>
          <w:szCs w:val="28"/>
          <w:u w:val="single"/>
        </w:rPr>
        <w:t>По итогам исследования можно дать следующие рекомендации для населения</w:t>
      </w:r>
      <w:r w:rsidRPr="00F57467">
        <w:rPr>
          <w:rFonts w:ascii="Times New Roman" w:hAnsi="Times New Roman" w:cs="Times New Roman"/>
          <w:i/>
          <w:sz w:val="28"/>
          <w:szCs w:val="28"/>
        </w:rPr>
        <w:t>:</w:t>
      </w:r>
    </w:p>
    <w:p w:rsidR="00F366F8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Контролируйте уровень своего артериального давления;</w:t>
      </w:r>
    </w:p>
    <w:p w:rsidR="00F366F8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Откажитесь от вредных привычек;</w:t>
      </w:r>
    </w:p>
    <w:p w:rsidR="00F366F8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Боритесь с лишним весом;</w:t>
      </w:r>
    </w:p>
    <w:p w:rsidR="00BD69DC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Соблюдайте принципы правильного питания</w:t>
      </w:r>
    </w:p>
    <w:p w:rsidR="00F366F8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Регулярно выполняйте лечебную физкультуру;</w:t>
      </w:r>
    </w:p>
    <w:p w:rsidR="00F366F8" w:rsidRPr="00DB4CE6" w:rsidRDefault="00F366F8" w:rsidP="00DB4CE6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Формируйте в себе стрессоустойчивость;</w:t>
      </w:r>
    </w:p>
    <w:p w:rsidR="00DB4CE6" w:rsidRDefault="00F366F8" w:rsidP="00F366F8">
      <w:pPr>
        <w:pStyle w:val="a6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B4CE6">
        <w:rPr>
          <w:rFonts w:ascii="Times New Roman" w:hAnsi="Times New Roman" w:cs="Times New Roman"/>
          <w:sz w:val="28"/>
          <w:szCs w:val="28"/>
        </w:rPr>
        <w:t>Регулярно при</w:t>
      </w:r>
      <w:r w:rsidR="00DB4CE6" w:rsidRPr="00DB4CE6">
        <w:rPr>
          <w:rFonts w:ascii="Times New Roman" w:hAnsi="Times New Roman" w:cs="Times New Roman"/>
          <w:sz w:val="28"/>
          <w:szCs w:val="28"/>
        </w:rPr>
        <w:t xml:space="preserve">нимайте лекарственные препараты, </w:t>
      </w:r>
      <w:r w:rsidRPr="00DB4CE6">
        <w:rPr>
          <w:rFonts w:ascii="Times New Roman" w:hAnsi="Times New Roman" w:cs="Times New Roman"/>
          <w:sz w:val="28"/>
          <w:szCs w:val="28"/>
        </w:rPr>
        <w:t>назначенные лечащим врачом.</w:t>
      </w:r>
    </w:p>
    <w:p w:rsidR="00FA41D8" w:rsidRDefault="00FA41D8" w:rsidP="00FA41D8">
      <w:pPr>
        <w:rPr>
          <w:rFonts w:ascii="Times New Roman" w:hAnsi="Times New Roman" w:cs="Times New Roman"/>
          <w:sz w:val="28"/>
          <w:szCs w:val="28"/>
        </w:rPr>
      </w:pPr>
    </w:p>
    <w:p w:rsidR="00E2343D" w:rsidRDefault="00E2343D" w:rsidP="00FA41D8">
      <w:pPr>
        <w:rPr>
          <w:rFonts w:ascii="Times New Roman" w:hAnsi="Times New Roman" w:cs="Times New Roman"/>
          <w:sz w:val="28"/>
          <w:szCs w:val="28"/>
        </w:rPr>
      </w:pPr>
    </w:p>
    <w:p w:rsidR="00E2343D" w:rsidRDefault="00E2343D" w:rsidP="00FA41D8">
      <w:pPr>
        <w:rPr>
          <w:rFonts w:ascii="Times New Roman" w:hAnsi="Times New Roman" w:cs="Times New Roman"/>
          <w:sz w:val="28"/>
          <w:szCs w:val="28"/>
        </w:rPr>
      </w:pPr>
    </w:p>
    <w:p w:rsidR="00E2343D" w:rsidRDefault="00E2343D" w:rsidP="00F366F8">
      <w:pPr>
        <w:rPr>
          <w:rFonts w:ascii="Times New Roman" w:hAnsi="Times New Roman" w:cs="Times New Roman"/>
          <w:sz w:val="28"/>
          <w:szCs w:val="28"/>
        </w:rPr>
      </w:pPr>
    </w:p>
    <w:p w:rsidR="00DC2631" w:rsidRDefault="00DC2631" w:rsidP="00F366F8">
      <w:pPr>
        <w:rPr>
          <w:rFonts w:ascii="Times New Roman" w:hAnsi="Times New Roman" w:cs="Times New Roman"/>
          <w:sz w:val="28"/>
          <w:szCs w:val="28"/>
        </w:rPr>
      </w:pPr>
    </w:p>
    <w:p w:rsidR="00DC2631" w:rsidRDefault="00DC2631" w:rsidP="00F366F8">
      <w:pPr>
        <w:rPr>
          <w:rFonts w:ascii="Times New Roman" w:hAnsi="Times New Roman" w:cs="Times New Roman"/>
          <w:sz w:val="28"/>
          <w:szCs w:val="28"/>
        </w:rPr>
      </w:pPr>
    </w:p>
    <w:p w:rsidR="00F366F8" w:rsidRPr="00696596" w:rsidRDefault="00696596" w:rsidP="00F366F8">
      <w:pPr>
        <w:rPr>
          <w:rFonts w:ascii="Times New Roman" w:hAnsi="Times New Roman" w:cs="Times New Roman"/>
          <w:i/>
          <w:sz w:val="28"/>
          <w:szCs w:val="28"/>
        </w:rPr>
      </w:pPr>
      <w:r w:rsidRPr="00696596">
        <w:rPr>
          <w:rFonts w:ascii="Times New Roman" w:hAnsi="Times New Roman" w:cs="Times New Roman"/>
          <w:i/>
          <w:sz w:val="28"/>
          <w:szCs w:val="28"/>
        </w:rPr>
        <w:lastRenderedPageBreak/>
        <w:t>Список используемой литературы:</w:t>
      </w:r>
    </w:p>
    <w:p w:rsidR="00F366F8" w:rsidRPr="0014281D" w:rsidRDefault="00F366F8" w:rsidP="00BD69D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>Виленский</w:t>
      </w:r>
      <w:proofErr w:type="spellEnd"/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Б.С. Инсульт, профилактика, диагностика и лечение.</w:t>
      </w:r>
      <w:r w:rsidR="00DB4C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>- СПб, 2016г., с 120-126</w:t>
      </w:r>
    </w:p>
    <w:p w:rsidR="00F366F8" w:rsidRPr="0014281D" w:rsidRDefault="00F366F8" w:rsidP="00BD69D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Научно- практический журнал для врачей «Медицинский совет» Неврология, 2015г./№5;</w:t>
      </w:r>
    </w:p>
    <w:p w:rsidR="00F366F8" w:rsidRPr="0014281D" w:rsidRDefault="00F366F8" w:rsidP="00BD69D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281D">
        <w:rPr>
          <w:rFonts w:ascii="Times New Roman" w:hAnsi="Times New Roman" w:cs="Times New Roman"/>
          <w:sz w:val="28"/>
          <w:szCs w:val="28"/>
        </w:rPr>
        <w:t>https://medconfer.com/node/16299</w:t>
      </w:r>
    </w:p>
    <w:p w:rsidR="00F366F8" w:rsidRPr="0014281D" w:rsidRDefault="00C32C1C" w:rsidP="00BD69D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>https://www.ncbi.nlm.nih.gov/pmc/articles/PMC3838588/</w:t>
      </w:r>
    </w:p>
    <w:p w:rsidR="00E95EBF" w:rsidRPr="00696596" w:rsidRDefault="00BD69DC" w:rsidP="003C13B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281D">
        <w:rPr>
          <w:rFonts w:ascii="Times New Roman" w:hAnsi="Times New Roman" w:cs="Times New Roman"/>
          <w:sz w:val="28"/>
          <w:szCs w:val="28"/>
          <w:shd w:val="clear" w:color="auto" w:fill="FFFFFF"/>
        </w:rPr>
        <w:t>https://www.ncbi.nlm.nih.gov/pmc/articles/PMC5053187/</w:t>
      </w:r>
    </w:p>
    <w:sectPr w:rsidR="00E95EBF" w:rsidRPr="0069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3E6"/>
    <w:multiLevelType w:val="hybridMultilevel"/>
    <w:tmpl w:val="EBA223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90DB0"/>
    <w:multiLevelType w:val="hybridMultilevel"/>
    <w:tmpl w:val="74CE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36B4"/>
    <w:multiLevelType w:val="hybridMultilevel"/>
    <w:tmpl w:val="B7A274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AD3"/>
    <w:multiLevelType w:val="hybridMultilevel"/>
    <w:tmpl w:val="59EE61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A492131"/>
    <w:multiLevelType w:val="hybridMultilevel"/>
    <w:tmpl w:val="33C2F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0260F"/>
    <w:multiLevelType w:val="hybridMultilevel"/>
    <w:tmpl w:val="73E48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46FD4"/>
    <w:multiLevelType w:val="hybridMultilevel"/>
    <w:tmpl w:val="B4F6B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623FA"/>
    <w:multiLevelType w:val="hybridMultilevel"/>
    <w:tmpl w:val="0D888A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FCB8D2F2">
      <w:numFmt w:val="bullet"/>
      <w:lvlText w:val="•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01D4BD5"/>
    <w:multiLevelType w:val="hybridMultilevel"/>
    <w:tmpl w:val="F8D46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5D"/>
    <w:rsid w:val="00030E8A"/>
    <w:rsid w:val="000A6A55"/>
    <w:rsid w:val="000B6862"/>
    <w:rsid w:val="000D7F30"/>
    <w:rsid w:val="001223C3"/>
    <w:rsid w:val="00134675"/>
    <w:rsid w:val="0014281D"/>
    <w:rsid w:val="001C0CF8"/>
    <w:rsid w:val="002A7ECD"/>
    <w:rsid w:val="00372C7F"/>
    <w:rsid w:val="00393EF0"/>
    <w:rsid w:val="00396128"/>
    <w:rsid w:val="003C13BE"/>
    <w:rsid w:val="00444F31"/>
    <w:rsid w:val="00447B77"/>
    <w:rsid w:val="00463C32"/>
    <w:rsid w:val="004914B4"/>
    <w:rsid w:val="004B7891"/>
    <w:rsid w:val="005B68A3"/>
    <w:rsid w:val="00615F5C"/>
    <w:rsid w:val="00696596"/>
    <w:rsid w:val="006B5E47"/>
    <w:rsid w:val="0080713B"/>
    <w:rsid w:val="00861B34"/>
    <w:rsid w:val="0089145B"/>
    <w:rsid w:val="008B60BB"/>
    <w:rsid w:val="008D0E48"/>
    <w:rsid w:val="00980E09"/>
    <w:rsid w:val="009A0278"/>
    <w:rsid w:val="009A6A3A"/>
    <w:rsid w:val="00A20E5D"/>
    <w:rsid w:val="00A40634"/>
    <w:rsid w:val="00A43C75"/>
    <w:rsid w:val="00AD37D4"/>
    <w:rsid w:val="00B06D47"/>
    <w:rsid w:val="00B1351B"/>
    <w:rsid w:val="00B26069"/>
    <w:rsid w:val="00BD69DC"/>
    <w:rsid w:val="00BE0EAC"/>
    <w:rsid w:val="00C15EEC"/>
    <w:rsid w:val="00C32C1C"/>
    <w:rsid w:val="00D31325"/>
    <w:rsid w:val="00D601B0"/>
    <w:rsid w:val="00D66378"/>
    <w:rsid w:val="00DA2191"/>
    <w:rsid w:val="00DB4CE6"/>
    <w:rsid w:val="00DC2631"/>
    <w:rsid w:val="00E2343D"/>
    <w:rsid w:val="00E67584"/>
    <w:rsid w:val="00E72D1F"/>
    <w:rsid w:val="00E74C8C"/>
    <w:rsid w:val="00E95EBF"/>
    <w:rsid w:val="00F366F8"/>
    <w:rsid w:val="00F5581F"/>
    <w:rsid w:val="00F57467"/>
    <w:rsid w:val="00FA41D8"/>
    <w:rsid w:val="00FA573E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5124"/>
  <w15:chartTrackingRefBased/>
  <w15:docId w15:val="{7FD2EE9B-E70D-4ACB-9D72-41578BF7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0E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0E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2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0E5D"/>
    <w:rPr>
      <w:b/>
      <w:bCs/>
    </w:rPr>
  </w:style>
  <w:style w:type="character" w:styleId="a5">
    <w:name w:val="Hyperlink"/>
    <w:basedOn w:val="a0"/>
    <w:uiPriority w:val="99"/>
    <w:unhideWhenUsed/>
    <w:rsid w:val="00F366F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D0E48"/>
    <w:pPr>
      <w:ind w:left="720"/>
      <w:contextualSpacing/>
    </w:pPr>
  </w:style>
  <w:style w:type="table" w:styleId="a7">
    <w:name w:val="Table Grid"/>
    <w:basedOn w:val="a1"/>
    <w:uiPriority w:val="39"/>
    <w:rsid w:val="00E72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6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7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u="none" strike="noStrike" cap="all" baseline="0">
                <a:effectLst/>
              </a:rPr>
              <a:t>Половозрастное распределение респондентов</a:t>
            </a:r>
            <a:endParaRPr lang="ru-RU" sz="1200"/>
          </a:p>
        </c:rich>
      </c:tx>
      <c:layout>
        <c:manualLayout>
          <c:xMode val="edge"/>
          <c:yMode val="edge"/>
          <c:x val="7.6479750778816191E-2"/>
          <c:y val="3.27868852459016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672955974842768E-2"/>
          <c:y val="0.29801053645272757"/>
          <c:w val="0.58127720573389874"/>
          <c:h val="0.4349655393795199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216-4A62-A9C5-B257363DC63D}"/>
              </c:ext>
            </c:extLst>
          </c:dPt>
          <c:dPt>
            <c:idx val="1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216-4A62-A9C5-B257363DC63D}"/>
              </c:ext>
            </c:extLst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216-4A62-A9C5-B257363DC63D}"/>
              </c:ext>
            </c:extLst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216-4A62-A9C5-B257363DC63D}"/>
              </c:ext>
            </c:extLst>
          </c:dPt>
          <c:dPt>
            <c:idx val="4"/>
            <c:bubble3D val="0"/>
            <c:spPr>
              <a:solidFill>
                <a:schemeClr val="accent5">
                  <a:alpha val="90000"/>
                </a:schemeClr>
              </a:solidFill>
              <a:ln w="19050">
                <a:solidFill>
                  <a:schemeClr val="accent5">
                    <a:lumMod val="75000"/>
                  </a:schemeClr>
                </a:solidFill>
              </a:ln>
              <a:effectLst>
                <a:innerShdw blurRad="114300">
                  <a:schemeClr val="accent5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5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216-4A62-A9C5-B257363DC63D}"/>
              </c:ext>
            </c:extLst>
          </c:dPt>
          <c:dPt>
            <c:idx val="5"/>
            <c:bubble3D val="0"/>
            <c:spPr>
              <a:solidFill>
                <a:schemeClr val="accent6">
                  <a:alpha val="90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  <a:effectLst>
                <a:innerShdw blurRad="114300">
                  <a:schemeClr val="accent6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6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216-4A62-A9C5-B257363DC63D}"/>
              </c:ext>
            </c:extLst>
          </c:dPt>
          <c:dLbls>
            <c:dLbl>
              <c:idx val="0"/>
              <c:layout>
                <c:manualLayout>
                  <c:x val="8.5826361548556329E-2"/>
                  <c:y val="5.660018545585989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baseline="0"/>
                      <a:t>М 18-35
</a:t>
                    </a:r>
                    <a:fld id="{1271027F-05E3-4969-BA58-96CD63EC11C1}" type="PERCENTAGE">
                      <a:rPr lang="en-US" baseline="0"/>
                      <a:pPr>
                        <a:defRPr/>
                      </a:pPr>
                      <a:t>[ПРОЦЕНТ]</a:t>
                    </a:fld>
                    <a:endParaRPr lang="ru-RU" baseline="0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1"/>
                  </a:solidFill>
                  <a:round/>
                </a:ln>
                <a:effectLst>
                  <a:outerShdw blurRad="50800" dist="38100" dir="2700000" algn="tl" rotWithShape="0">
                    <a:schemeClr val="accent1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216-4A62-A9C5-B257363DC63D}"/>
                </c:ext>
              </c:extLst>
            </c:dLbl>
            <c:dLbl>
              <c:idx val="1"/>
              <c:layout>
                <c:manualLayout>
                  <c:x val="2.9873672333014391E-2"/>
                  <c:y val="1.258078395938212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>
                        <a:solidFill>
                          <a:schemeClr val="accent2"/>
                        </a:solidFill>
                      </a:rPr>
                      <a:t>М 36-50</a:t>
                    </a:r>
                    <a:r>
                      <a:rPr lang="ru-RU" baseline="0">
                        <a:solidFill>
                          <a:schemeClr val="accent2"/>
                        </a:solidFill>
                      </a:rPr>
                      <a:t>
</a:t>
                    </a:r>
                    <a:fld id="{396205D4-4901-4F81-86AC-7572F98DCAB9}" type="PERCENTAGE">
                      <a:rPr lang="en-US" baseline="0">
                        <a:solidFill>
                          <a:schemeClr val="accent2"/>
                        </a:solidFill>
                      </a:rPr>
                      <a:pPr>
                        <a:defRPr/>
                      </a:pPr>
                      <a:t>[ПРОЦЕНТ]</a:t>
                    </a:fld>
                    <a:endParaRPr lang="ru-RU" baseline="0">
                      <a:solidFill>
                        <a:schemeClr val="accent2"/>
                      </a:solidFill>
                    </a:endParaRP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2"/>
                  </a:solidFill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2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216-4A62-A9C5-B257363DC63D}"/>
                </c:ext>
              </c:extLst>
            </c:dLbl>
            <c:dLbl>
              <c:idx val="2"/>
              <c:layout>
                <c:manualLayout>
                  <c:x val="5.8017514165869456E-2"/>
                  <c:y val="8.152790327438568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bg2">
                            <a:lumMod val="50000"/>
                          </a:schemeClr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>
                        <a:solidFill>
                          <a:schemeClr val="bg2">
                            <a:lumMod val="50000"/>
                          </a:schemeClr>
                        </a:solidFill>
                      </a:rPr>
                      <a:t>М 51-69</a:t>
                    </a:r>
                    <a:r>
                      <a:rPr lang="ru-RU" baseline="0">
                        <a:solidFill>
                          <a:schemeClr val="bg2">
                            <a:lumMod val="50000"/>
                          </a:schemeClr>
                        </a:solidFill>
                      </a:rPr>
                      <a:t>
</a:t>
                    </a:r>
                    <a:fld id="{AA30924B-318F-443C-8102-6FE1290A8D30}" type="PERCENTAGE">
                      <a:rPr lang="en-US" baseline="0">
                        <a:solidFill>
                          <a:schemeClr val="bg2">
                            <a:lumMod val="50000"/>
                          </a:schemeClr>
                        </a:solidFill>
                      </a:rPr>
                      <a:pPr>
                        <a:defRPr>
                          <a:solidFill>
                            <a:schemeClr val="bg2">
                              <a:lumMod val="50000"/>
                            </a:schemeClr>
                          </a:solidFill>
                        </a:defRPr>
                      </a:pPr>
                      <a:t>[ПРОЦЕНТ]</a:t>
                    </a:fld>
                    <a:endParaRPr lang="ru-RU" baseline="0">
                      <a:solidFill>
                        <a:schemeClr val="bg2">
                          <a:lumMod val="50000"/>
                        </a:schemeClr>
                      </a:solidFill>
                    </a:endParaRP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3"/>
                  </a:solidFill>
                  <a:round/>
                </a:ln>
                <a:effectLst>
                  <a:outerShdw blurRad="50800" dist="38100" dir="2700000" algn="tl" rotWithShape="0">
                    <a:schemeClr val="accent3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bg2">
                          <a:lumMod val="50000"/>
                        </a:schemeClr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216-4A62-A9C5-B257363DC63D}"/>
                </c:ext>
              </c:extLst>
            </c:dLbl>
            <c:dLbl>
              <c:idx val="3"/>
              <c:layout>
                <c:manualLayout>
                  <c:x val="-3.2547648833615425E-2"/>
                  <c:y val="9.328514263585893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baseline="0">
                        <a:solidFill>
                          <a:schemeClr val="accent4"/>
                        </a:solidFill>
                      </a:rPr>
                      <a:t>Ж 18-35
</a:t>
                    </a:r>
                    <a:fld id="{4F790151-C674-4E67-B436-AA1FFE9BA634}" type="PERCENTAGE">
                      <a:rPr lang="en-US" baseline="0">
                        <a:solidFill>
                          <a:schemeClr val="accent4"/>
                        </a:solidFill>
                      </a:rPr>
                      <a:pPr>
                        <a:defRPr/>
                      </a:pPr>
                      <a:t>[ПРОЦЕНТ]</a:t>
                    </a:fld>
                    <a:endParaRPr lang="ru-RU" baseline="0">
                      <a:solidFill>
                        <a:schemeClr val="accent4"/>
                      </a:solidFill>
                    </a:endParaRP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4"/>
                  </a:solidFill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4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E216-4A62-A9C5-B257363DC63D}"/>
                </c:ext>
              </c:extLst>
            </c:dLbl>
            <c:dLbl>
              <c:idx val="4"/>
              <c:layout>
                <c:manualLayout>
                  <c:x val="-2.6882282238084726E-2"/>
                  <c:y val="8.7414052751602717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baseline="0"/>
                      <a:t>Ж 36-50
</a:t>
                    </a:r>
                    <a:fld id="{151B7859-A431-4478-9384-764F9D1DD0DD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5"/>
                  </a:solidFill>
                  <a:round/>
                </a:ln>
                <a:effectLst>
                  <a:outerShdw blurRad="50800" dist="38100" dir="2700000" algn="tl" rotWithShape="0">
                    <a:schemeClr val="accent5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E216-4A62-A9C5-B257363DC63D}"/>
                </c:ext>
              </c:extLst>
            </c:dLbl>
            <c:dLbl>
              <c:idx val="5"/>
              <c:layout>
                <c:manualLayout>
                  <c:x val="-0.11700590551181105"/>
                  <c:y val="3.6988918051910166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baseline="0">
                        <a:solidFill>
                          <a:schemeClr val="accent6"/>
                        </a:solidFill>
                      </a:rPr>
                      <a:t>Ж 51-69</a:t>
                    </a:r>
                  </a:p>
                  <a:p>
                    <a:pPr>
                      <a:defRPr/>
                    </a:pPr>
                    <a:fld id="{A75886EB-A312-415A-863C-4D627FB09595}" type="PERCENTAGE">
                      <a:rPr lang="en-US" baseline="0">
                        <a:solidFill>
                          <a:schemeClr val="accent6"/>
                        </a:solidFill>
                      </a:rPr>
                      <a:pPr>
                        <a:defRPr/>
                      </a:pPr>
                      <a:t>[ПРОЦЕНТ]</a:t>
                    </a:fld>
                    <a:endParaRPr lang="ru-RU"/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6"/>
                  </a:solidFill>
                  <a:round/>
                </a:ln>
                <a:effectLst>
                  <a:outerShdw blurRad="50800" dist="38100" dir="2700000" algn="tl" rotWithShape="0">
                    <a:schemeClr val="accent6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6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E216-4A62-A9C5-B257363DC63D}"/>
                </c:ext>
              </c:extLst>
            </c:dLbl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5B9BD5"/>
                </a:solidFill>
                <a:round/>
              </a:ln>
              <a:effectLst>
                <a:outerShdw blurRad="50800" dist="38100" dir="2700000" algn="tl" rotWithShape="0">
                  <a:srgbClr val="5B9BD5">
                    <a:lumMod val="75000"/>
                    <a:alpha val="40000"/>
                  </a:srgbClr>
                </a:outerShdw>
              </a:effectLst>
            </c:sp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Лист5!$A$2:$A$7</c:f>
              <c:strCache>
                <c:ptCount val="6"/>
                <c:pt idx="0">
                  <c:v>Мужчины 18-35</c:v>
                </c:pt>
                <c:pt idx="1">
                  <c:v>Мужчины 36-50</c:v>
                </c:pt>
                <c:pt idx="2">
                  <c:v>Мужчины 51-69</c:v>
                </c:pt>
                <c:pt idx="3">
                  <c:v>Женщины 18-35</c:v>
                </c:pt>
                <c:pt idx="4">
                  <c:v>Женщины 36-50</c:v>
                </c:pt>
                <c:pt idx="5">
                  <c:v>Женщины 51-69</c:v>
                </c:pt>
              </c:strCache>
            </c:strRef>
          </c:cat>
          <c:val>
            <c:numRef>
              <c:f>Лист5!$B$2:$B$7</c:f>
              <c:numCache>
                <c:formatCode>General</c:formatCode>
                <c:ptCount val="6"/>
                <c:pt idx="0">
                  <c:v>20</c:v>
                </c:pt>
                <c:pt idx="1">
                  <c:v>14</c:v>
                </c:pt>
                <c:pt idx="2">
                  <c:v>10</c:v>
                </c:pt>
                <c:pt idx="3">
                  <c:v>28</c:v>
                </c:pt>
                <c:pt idx="4">
                  <c:v>13</c:v>
                </c:pt>
                <c:pt idx="5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216-4A62-A9C5-B257363DC63D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032638777295695"/>
          <c:y val="0.20217938274957006"/>
          <c:w val="0.29916593759113447"/>
          <c:h val="0.66313422029142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Уровень образования мужчин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8766870262712487"/>
          <c:y val="0.22349204221812699"/>
          <c:w val="0.58247869977791233"/>
          <c:h val="0.4693650135838283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050-4AD9-B974-BB597ED7CA3E}"/>
              </c:ext>
            </c:extLst>
          </c:dPt>
          <c:dPt>
            <c:idx val="1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050-4AD9-B974-BB597ED7CA3E}"/>
              </c:ext>
            </c:extLst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050-4AD9-B974-BB597ED7CA3E}"/>
              </c:ext>
            </c:extLst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050-4AD9-B974-BB597ED7CA3E}"/>
              </c:ext>
            </c:extLst>
          </c:dPt>
          <c:dLbls>
            <c:dLbl>
              <c:idx val="0"/>
              <c:layout>
                <c:manualLayout>
                  <c:x val="4.2646880678376742E-2"/>
                  <c:y val="4.323596647193291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 12%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1"/>
                  </a:solidFill>
                  <a:round/>
                </a:ln>
                <a:effectLst>
                  <a:outerShdw blurRad="50800" dist="38100" dir="2700000" algn="tl" rotWithShape="0">
                    <a:schemeClr val="accent1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050-4AD9-B974-BB597ED7CA3E}"/>
                </c:ext>
              </c:extLst>
            </c:dLbl>
            <c:dLbl>
              <c:idx val="1"/>
              <c:layout>
                <c:manualLayout>
                  <c:x val="1.8670300827781094E-2"/>
                  <c:y val="-1.1799734710580533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2"/>
                        </a:solidFill>
                      </a:rPr>
                      <a:t> 6%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2"/>
                  </a:solidFill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050-4AD9-B974-BB597ED7CA3E}"/>
                </c:ext>
              </c:extLst>
            </c:dLbl>
            <c:dLbl>
              <c:idx val="2"/>
              <c:layout>
                <c:manualLayout>
                  <c:x val="-8.4883908742176453E-2"/>
                  <c:y val="-9.6132983377077999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bg2">
                            <a:lumMod val="50000"/>
                          </a:schemeClr>
                        </a:solidFill>
                      </a:rPr>
                      <a:t> 11%</a:t>
                    </a:r>
                    <a:r>
                      <a:rPr lang="en-US">
                        <a:solidFill>
                          <a:schemeClr val="bg2"/>
                        </a:solidFill>
                      </a:rPr>
                      <a:t>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3"/>
                  </a:solidFill>
                  <a:round/>
                </a:ln>
                <a:effectLst>
                  <a:outerShdw blurRad="50800" dist="38100" dir="2700000" algn="tl" rotWithShape="0">
                    <a:schemeClr val="accent3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050-4AD9-B974-BB597ED7CA3E}"/>
                </c:ext>
              </c:extLst>
            </c:dLbl>
            <c:dLbl>
              <c:idx val="3"/>
              <c:layout>
                <c:manualLayout>
                  <c:x val="-2.0107409650716761E-2"/>
                  <c:y val="8.217198656619502E-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a:rPr>
                      <a:t> 15%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4"/>
                  </a:solidFill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050-4AD9-B974-BB597ED7CA3E}"/>
                </c:ext>
              </c:extLst>
            </c:dLbl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5B9BD5"/>
                </a:solidFill>
                <a:round/>
              </a:ln>
              <a:effectLst>
                <a:outerShdw blurRad="50800" dist="38100" dir="2700000" algn="tl" rotWithShape="0">
                  <a:srgbClr val="5B9BD5">
                    <a:lumMod val="75000"/>
                    <a:alpha val="40000"/>
                  </a:srgbClr>
                </a:outerShdw>
              </a:effectLst>
            </c:spPr>
            <c:dLblPos val="in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Лист7!$A$2:$A$5</c:f>
              <c:strCache>
                <c:ptCount val="4"/>
                <c:pt idx="0">
                  <c:v>Среднее профессиональное</c:v>
                </c:pt>
                <c:pt idx="1">
                  <c:v>Среднее</c:v>
                </c:pt>
                <c:pt idx="2">
                  <c:v>Неполное весшее</c:v>
                </c:pt>
                <c:pt idx="3">
                  <c:v>Высшее</c:v>
                </c:pt>
              </c:strCache>
            </c:strRef>
          </c:cat>
          <c:val>
            <c:numRef>
              <c:f>Лист7!$B$2:$B$5</c:f>
              <c:numCache>
                <c:formatCode>General</c:formatCode>
                <c:ptCount val="4"/>
                <c:pt idx="0">
                  <c:v>12</c:v>
                </c:pt>
                <c:pt idx="1">
                  <c:v>6</c:v>
                </c:pt>
                <c:pt idx="2">
                  <c:v>11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050-4AD9-B974-BB597ED7CA3E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528634392399064E-2"/>
          <c:y val="0.77333193350831153"/>
          <c:w val="0.92471365607600942"/>
          <c:h val="0.1911125109361329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Уровень образования женщин</a:t>
            </a:r>
          </a:p>
        </c:rich>
      </c:tx>
      <c:layout>
        <c:manualLayout>
          <c:xMode val="edge"/>
          <c:yMode val="edge"/>
          <c:x val="0.11735411198600175"/>
          <c:y val="1.38888888888888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701864579066346E-2"/>
          <c:y val="0.28352455943007127"/>
          <c:w val="0.71865762444434333"/>
          <c:h val="0.4640331723240477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454-446F-8F94-8FAE74E1D578}"/>
              </c:ext>
            </c:extLst>
          </c:dPt>
          <c:dPt>
            <c:idx val="1"/>
            <c:bubble3D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454-446F-8F94-8FAE74E1D578}"/>
              </c:ext>
            </c:extLst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454-446F-8F94-8FAE74E1D578}"/>
              </c:ext>
            </c:extLst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454-446F-8F94-8FAE74E1D578}"/>
              </c:ext>
            </c:extLst>
          </c:dPt>
          <c:dLbls>
            <c:dLbl>
              <c:idx val="0"/>
              <c:layout>
                <c:manualLayout>
                  <c:x val="1.7445319335083114E-3"/>
                  <c:y val="-1.852289297171188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1"/>
                  </a:solidFill>
                  <a:round/>
                </a:ln>
                <a:effectLst>
                  <a:outerShdw blurRad="50800" dist="38100" dir="2700000" algn="tl" rotWithShape="0">
                    <a:schemeClr val="accent1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454-446F-8F94-8FAE74E1D578}"/>
                </c:ext>
              </c:extLst>
            </c:dLbl>
            <c:dLbl>
              <c:idx val="1"/>
              <c:layout>
                <c:manualLayout>
                  <c:x val="1.5754811898512685E-2"/>
                  <c:y val="3.874854184893551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2"/>
                        </a:solidFill>
                      </a:rPr>
                      <a:t>14%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2"/>
                  </a:solidFill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454-446F-8F94-8FAE74E1D578}"/>
                </c:ext>
              </c:extLst>
            </c:dLbl>
            <c:dLbl>
              <c:idx val="2"/>
              <c:layout>
                <c:manualLayout>
                  <c:x val="2.9406824146981626E-2"/>
                  <c:y val="-5.5744750656167893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bg2">
                            <a:lumMod val="50000"/>
                          </a:schemeClr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bg2">
                            <a:lumMod val="50000"/>
                          </a:schemeClr>
                        </a:solidFill>
                      </a:rPr>
                      <a:t>17%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3"/>
                  </a:solidFill>
                  <a:round/>
                </a:ln>
                <a:effectLst>
                  <a:outerShdw blurRad="50800" dist="38100" dir="2700000" algn="tl" rotWithShape="0">
                    <a:schemeClr val="accent3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bg2">
                          <a:lumMod val="50000"/>
                        </a:schemeClr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454-446F-8F94-8FAE74E1D578}"/>
                </c:ext>
              </c:extLst>
            </c:dLbl>
            <c:dLbl>
              <c:idx val="3"/>
              <c:layout>
                <c:manualLayout>
                  <c:x val="-3.0680008748906386E-2"/>
                  <c:y val="-1.175998833479191E-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0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accent4"/>
                        </a:solidFill>
                      </a:rPr>
                      <a:t>26%</a:t>
                    </a:r>
                  </a:p>
                </c:rich>
              </c:tx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4"/>
                  </a:solidFill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454-446F-8F94-8FAE74E1D578}"/>
                </c:ext>
              </c:extLst>
            </c:dLbl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5B9BD5"/>
                </a:solidFill>
                <a:round/>
              </a:ln>
              <a:effectLst>
                <a:outerShdw blurRad="50800" dist="38100" dir="2700000" algn="tl" rotWithShape="0">
                  <a:srgbClr val="5B9BD5">
                    <a:lumMod val="75000"/>
                    <a:alpha val="40000"/>
                  </a:srgbClr>
                </a:outerShdw>
              </a:effectLst>
            </c:spPr>
            <c:dLblPos val="in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Лист7!$A$8:$A$11</c:f>
              <c:strCache>
                <c:ptCount val="4"/>
                <c:pt idx="0">
                  <c:v>Среднее 2%</c:v>
                </c:pt>
                <c:pt idx="1">
                  <c:v>Среднее профессиональное 14%</c:v>
                </c:pt>
                <c:pt idx="2">
                  <c:v>Неполное весшее 17%</c:v>
                </c:pt>
                <c:pt idx="3">
                  <c:v>Высшее 26%</c:v>
                </c:pt>
              </c:strCache>
            </c:strRef>
          </c:cat>
          <c:val>
            <c:numRef>
              <c:f>Лист7!$B$8:$B$11</c:f>
              <c:numCache>
                <c:formatCode>General</c:formatCode>
                <c:ptCount val="4"/>
                <c:pt idx="0">
                  <c:v>2</c:v>
                </c:pt>
                <c:pt idx="1">
                  <c:v>14</c:v>
                </c:pt>
                <c:pt idx="2">
                  <c:v>17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454-446F-8F94-8FAE74E1D578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 b="1" i="0" u="none" strike="noStrike" cap="all" normalizeH="0" baseline="0">
                <a:effectLst/>
              </a:rPr>
              <a:t>Какие факторы риска развития инсульта Вам известны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Лист1!$A$1:$A$9</c:f>
              <c:strCache>
                <c:ptCount val="9"/>
                <c:pt idx="0">
                  <c:v> артериальная гипертензия</c:v>
                </c:pt>
                <c:pt idx="1">
                  <c:v>атеросклероз</c:v>
                </c:pt>
                <c:pt idx="2">
                  <c:v>генетическая предрасположенность</c:v>
                </c:pt>
                <c:pt idx="3">
                  <c:v>ожирение</c:v>
                </c:pt>
                <c:pt idx="4">
                  <c:v>курение</c:v>
                </c:pt>
                <c:pt idx="5">
                  <c:v>злоупотребление алкоголем </c:v>
                </c:pt>
                <c:pt idx="6">
                  <c:v>сахарный диабет</c:v>
                </c:pt>
                <c:pt idx="7">
                  <c:v>депрессия</c:v>
                </c:pt>
                <c:pt idx="8">
                  <c:v>затрудняюсь в выборе ответа</c:v>
                </c:pt>
              </c:strCache>
            </c:strRef>
          </c:cat>
          <c:val>
            <c:numRef>
              <c:f>Лист1!$B$1:$B$9</c:f>
              <c:numCache>
                <c:formatCode>General</c:formatCode>
                <c:ptCount val="9"/>
                <c:pt idx="0">
                  <c:v>89</c:v>
                </c:pt>
                <c:pt idx="1">
                  <c:v>76</c:v>
                </c:pt>
                <c:pt idx="2">
                  <c:v>70</c:v>
                </c:pt>
                <c:pt idx="3">
                  <c:v>66</c:v>
                </c:pt>
                <c:pt idx="4">
                  <c:v>65</c:v>
                </c:pt>
                <c:pt idx="5">
                  <c:v>50</c:v>
                </c:pt>
                <c:pt idx="6">
                  <c:v>43</c:v>
                </c:pt>
                <c:pt idx="7">
                  <c:v>37</c:v>
                </c:pt>
                <c:pt idx="8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A7-4619-A185-73A7CFE012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9"/>
        <c:shape val="box"/>
        <c:axId val="453005072"/>
        <c:axId val="453011304"/>
        <c:axId val="0"/>
      </c:bar3DChart>
      <c:catAx>
        <c:axId val="453005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011304"/>
        <c:crosses val="autoZero"/>
        <c:auto val="1"/>
        <c:lblAlgn val="ctr"/>
        <c:lblOffset val="100"/>
        <c:noMultiLvlLbl val="0"/>
      </c:catAx>
      <c:valAx>
        <c:axId val="45301130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530050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какие</a:t>
            </a:r>
            <a:r>
              <a:rPr lang="ru-RU" baseline="0"/>
              <a:t> симптомы вам известны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Лист2!$A$2:$A$8</c:f>
              <c:strCache>
                <c:ptCount val="7"/>
                <c:pt idx="0">
                  <c:v>внезапное развитие асимметрии лица и нарушение речи</c:v>
                </c:pt>
                <c:pt idx="1">
                  <c:v>внезапное головокружение </c:v>
                </c:pt>
                <c:pt idx="2">
                  <c:v>нарушение движений в руке и/или ноге</c:v>
                </c:pt>
                <c:pt idx="3">
                  <c:v>внезапно проявившееся онемение в руке и/или ноге</c:v>
                </c:pt>
                <c:pt idx="4">
                  <c:v>затрудняюсь в выборе ответа</c:v>
                </c:pt>
                <c:pt idx="5">
                  <c:v>внезапная головная боль </c:v>
                </c:pt>
                <c:pt idx="6">
                  <c:v>внезапная утрата сознания </c:v>
                </c:pt>
              </c:strCache>
            </c:strRef>
          </c:cat>
          <c:val>
            <c:numRef>
              <c:f>Лист2!$B$2:$B$8</c:f>
              <c:numCache>
                <c:formatCode>General</c:formatCode>
                <c:ptCount val="7"/>
                <c:pt idx="0">
                  <c:v>79</c:v>
                </c:pt>
                <c:pt idx="1">
                  <c:v>71</c:v>
                </c:pt>
                <c:pt idx="2">
                  <c:v>66</c:v>
                </c:pt>
                <c:pt idx="3">
                  <c:v>48</c:v>
                </c:pt>
                <c:pt idx="4">
                  <c:v>35</c:v>
                </c:pt>
                <c:pt idx="5">
                  <c:v>30</c:v>
                </c:pt>
                <c:pt idx="6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39-4D17-83EC-282BDE9EE3A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9"/>
        <c:shape val="box"/>
        <c:axId val="453010648"/>
        <c:axId val="453003760"/>
        <c:axId val="0"/>
      </c:bar3DChart>
      <c:catAx>
        <c:axId val="453010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003760"/>
        <c:crosses val="autoZero"/>
        <c:auto val="1"/>
        <c:lblAlgn val="ctr"/>
        <c:lblOffset val="100"/>
        <c:noMultiLvlLbl val="0"/>
      </c:catAx>
      <c:valAx>
        <c:axId val="45300376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53010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Что необходимо сделать в первую очередь при развитии инсульта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Лист3!$A$2:$A$5</c:f>
              <c:strCache>
                <c:ptCount val="4"/>
                <c:pt idx="0">
                  <c:v>необходимость вызова бригады скорой медицинской помощи</c:v>
                </c:pt>
                <c:pt idx="1">
                  <c:v>вызвали бы врача на дом</c:v>
                </c:pt>
                <c:pt idx="2">
                  <c:v>обратились бы за первой медицинской помощью к окружающим</c:v>
                </c:pt>
                <c:pt idx="3">
                  <c:v>ожидали бы врача поликлиники по месту жительства</c:v>
                </c:pt>
              </c:strCache>
            </c:strRef>
          </c:cat>
          <c:val>
            <c:numRef>
              <c:f>Лист3!$B$2:$B$5</c:f>
              <c:numCache>
                <c:formatCode>General</c:formatCode>
                <c:ptCount val="4"/>
                <c:pt idx="0">
                  <c:v>83</c:v>
                </c:pt>
                <c:pt idx="1">
                  <c:v>24</c:v>
                </c:pt>
                <c:pt idx="2">
                  <c:v>24</c:v>
                </c:pt>
                <c:pt idx="3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F3-41C0-88C8-A11476F858C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9"/>
        <c:shape val="box"/>
        <c:axId val="442293544"/>
        <c:axId val="442296496"/>
        <c:axId val="0"/>
      </c:bar3DChart>
      <c:catAx>
        <c:axId val="442293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2296496"/>
        <c:crosses val="autoZero"/>
        <c:auto val="1"/>
        <c:lblAlgn val="ctr"/>
        <c:lblOffset val="100"/>
        <c:noMultiLvlLbl val="0"/>
      </c:catAx>
      <c:valAx>
        <c:axId val="4422964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42293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Какие способы профилактики инсульта вы знаете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Лист4!$A$1:$A$6</c:f>
              <c:strCache>
                <c:ptCount val="6"/>
                <c:pt idx="0">
                  <c:v>Регулярное посещение врача</c:v>
                </c:pt>
                <c:pt idx="1">
                  <c:v>нормализация веса</c:v>
                </c:pt>
                <c:pt idx="2">
                  <c:v>физические упражнения </c:v>
                </c:pt>
                <c:pt idx="3">
                  <c:v>ЗОЖ</c:v>
                </c:pt>
                <c:pt idx="4">
                  <c:v>отказ от вредных привычек</c:v>
                </c:pt>
                <c:pt idx="5">
                  <c:v>нормализация артериального давления</c:v>
                </c:pt>
              </c:strCache>
            </c:strRef>
          </c:cat>
          <c:val>
            <c:numRef>
              <c:f>Лист4!$B$1:$B$6</c:f>
              <c:numCache>
                <c:formatCode>General</c:formatCode>
                <c:ptCount val="6"/>
                <c:pt idx="0">
                  <c:v>43</c:v>
                </c:pt>
                <c:pt idx="1">
                  <c:v>56</c:v>
                </c:pt>
                <c:pt idx="2">
                  <c:v>56</c:v>
                </c:pt>
                <c:pt idx="3">
                  <c:v>78</c:v>
                </c:pt>
                <c:pt idx="4">
                  <c:v>85</c:v>
                </c:pt>
                <c:pt idx="5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30-43DA-BBB2-51D686114AC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9"/>
        <c:shape val="box"/>
        <c:axId val="456707584"/>
        <c:axId val="456684296"/>
        <c:axId val="0"/>
      </c:bar3DChart>
      <c:catAx>
        <c:axId val="45670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6684296"/>
        <c:crosses val="autoZero"/>
        <c:auto val="1"/>
        <c:lblAlgn val="ctr"/>
        <c:lblOffset val="100"/>
        <c:noMultiLvlLbl val="0"/>
      </c:catAx>
      <c:valAx>
        <c:axId val="45668429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56707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8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8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8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1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8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6750</TotalTime>
  <Pages>7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2019-09-10T19:35:00Z</dcterms:created>
  <dcterms:modified xsi:type="dcterms:W3CDTF">2019-09-17T13:15:00Z</dcterms:modified>
</cp:coreProperties>
</file>