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C18D2" w14:textId="77777777" w:rsidR="0062384F" w:rsidRDefault="0062384F" w:rsidP="0062384F">
      <w:pPr>
        <w:jc w:val="center"/>
        <w:rPr>
          <w:rFonts w:eastAsia="Calibri" w:cs="Times New Roman"/>
        </w:rPr>
      </w:pPr>
    </w:p>
    <w:p w14:paraId="2FFD7450" w14:textId="4C706128" w:rsidR="00A83A1D" w:rsidRPr="00F90EEB" w:rsidRDefault="00A83A1D" w:rsidP="0062384F">
      <w:pPr>
        <w:jc w:val="center"/>
        <w:rPr>
          <w:rFonts w:eastAsia="Calibri" w:cs="Times New Roman"/>
        </w:rPr>
      </w:pPr>
      <w:r w:rsidRPr="00F90EEB">
        <w:rPr>
          <w:rFonts w:eastAsia="Calibri" w:cs="Times New Roman"/>
        </w:rPr>
        <w:t>Методические рекомендации</w:t>
      </w:r>
    </w:p>
    <w:p w14:paraId="10CC16D4" w14:textId="77777777" w:rsidR="00A83A1D" w:rsidRDefault="00A83A1D" w:rsidP="006C0B77">
      <w:pPr>
        <w:spacing w:after="0"/>
        <w:ind w:firstLine="709"/>
        <w:jc w:val="both"/>
      </w:pPr>
    </w:p>
    <w:p w14:paraId="595C1F69" w14:textId="77777777" w:rsidR="00A83A1D" w:rsidRDefault="00A83A1D" w:rsidP="006C0B77">
      <w:pPr>
        <w:spacing w:after="0"/>
        <w:ind w:firstLine="709"/>
        <w:jc w:val="both"/>
      </w:pPr>
    </w:p>
    <w:p w14:paraId="034E31A1" w14:textId="77777777" w:rsidR="00A83A1D" w:rsidRDefault="00A83A1D" w:rsidP="006C0B77">
      <w:pPr>
        <w:spacing w:after="0"/>
        <w:ind w:firstLine="709"/>
        <w:jc w:val="both"/>
      </w:pPr>
    </w:p>
    <w:p w14:paraId="52673F08" w14:textId="77777777" w:rsidR="00A83A1D" w:rsidRDefault="00A83A1D" w:rsidP="006C0B77">
      <w:pPr>
        <w:spacing w:after="0"/>
        <w:ind w:firstLine="709"/>
        <w:jc w:val="both"/>
      </w:pPr>
    </w:p>
    <w:p w14:paraId="72A503CC" w14:textId="77777777" w:rsidR="00A83A1D" w:rsidRDefault="00A83A1D" w:rsidP="006C0B77">
      <w:pPr>
        <w:spacing w:after="0"/>
        <w:ind w:firstLine="709"/>
        <w:jc w:val="both"/>
      </w:pPr>
    </w:p>
    <w:p w14:paraId="6B1EE35D" w14:textId="77777777" w:rsidR="00A83A1D" w:rsidRPr="00A83A1D" w:rsidRDefault="00A83A1D" w:rsidP="00A83A1D">
      <w:pPr>
        <w:spacing w:after="0"/>
        <w:jc w:val="both"/>
        <w:rPr>
          <w:sz w:val="18"/>
          <w:szCs w:val="14"/>
        </w:rPr>
      </w:pPr>
    </w:p>
    <w:p w14:paraId="392D2B01" w14:textId="77777777" w:rsidR="00A83A1D" w:rsidRPr="00A83A1D" w:rsidRDefault="00A83A1D" w:rsidP="00A83A1D">
      <w:pPr>
        <w:spacing w:after="0"/>
        <w:ind w:firstLine="709"/>
        <w:rPr>
          <w:sz w:val="32"/>
          <w:szCs w:val="24"/>
        </w:rPr>
      </w:pPr>
    </w:p>
    <w:p w14:paraId="3EC62C95" w14:textId="77777777" w:rsidR="00A83A1D" w:rsidRDefault="00A83A1D" w:rsidP="00A83A1D">
      <w:pPr>
        <w:spacing w:after="0"/>
        <w:ind w:firstLine="709"/>
        <w:jc w:val="center"/>
        <w:rPr>
          <w:b/>
          <w:bCs/>
          <w:sz w:val="32"/>
          <w:szCs w:val="24"/>
        </w:rPr>
      </w:pPr>
    </w:p>
    <w:p w14:paraId="1DEC678D" w14:textId="77777777" w:rsidR="00A83A1D" w:rsidRDefault="00A83A1D" w:rsidP="00A83A1D">
      <w:pPr>
        <w:spacing w:after="0"/>
        <w:ind w:firstLine="709"/>
        <w:jc w:val="center"/>
        <w:rPr>
          <w:b/>
          <w:bCs/>
          <w:sz w:val="32"/>
          <w:szCs w:val="24"/>
        </w:rPr>
      </w:pPr>
    </w:p>
    <w:p w14:paraId="05FD4529" w14:textId="1860E93D" w:rsidR="00A83A1D" w:rsidRPr="0062384F" w:rsidRDefault="00A83A1D" w:rsidP="0062384F">
      <w:pPr>
        <w:spacing w:after="0"/>
        <w:ind w:firstLine="709"/>
        <w:jc w:val="center"/>
        <w:rPr>
          <w:b/>
          <w:bCs/>
          <w:sz w:val="36"/>
          <w:szCs w:val="28"/>
        </w:rPr>
      </w:pPr>
      <w:r w:rsidRPr="0062384F">
        <w:rPr>
          <w:b/>
          <w:bCs/>
          <w:sz w:val="36"/>
          <w:szCs w:val="28"/>
        </w:rPr>
        <w:t>Метод сенсорной интеграции</w:t>
      </w:r>
    </w:p>
    <w:p w14:paraId="1636D88B" w14:textId="5B705EEB" w:rsidR="00F12C76" w:rsidRPr="0062384F" w:rsidRDefault="00A83A1D" w:rsidP="0062384F">
      <w:pPr>
        <w:spacing w:after="0"/>
        <w:ind w:firstLine="709"/>
        <w:jc w:val="center"/>
        <w:rPr>
          <w:b/>
          <w:bCs/>
          <w:sz w:val="20"/>
          <w:szCs w:val="16"/>
        </w:rPr>
      </w:pPr>
      <w:r w:rsidRPr="0062384F">
        <w:rPr>
          <w:b/>
          <w:bCs/>
          <w:sz w:val="36"/>
          <w:szCs w:val="28"/>
        </w:rPr>
        <w:t xml:space="preserve">в развитии дошкольников с </w:t>
      </w:r>
      <w:r w:rsidR="0062384F">
        <w:rPr>
          <w:b/>
          <w:bCs/>
          <w:sz w:val="36"/>
          <w:szCs w:val="28"/>
        </w:rPr>
        <w:t>ограниченными возможностями здоровья (</w:t>
      </w:r>
      <w:r w:rsidRPr="0062384F">
        <w:rPr>
          <w:b/>
          <w:bCs/>
          <w:sz w:val="36"/>
          <w:szCs w:val="28"/>
        </w:rPr>
        <w:t>ОВЗ</w:t>
      </w:r>
      <w:r w:rsidR="0062384F">
        <w:rPr>
          <w:b/>
          <w:bCs/>
          <w:sz w:val="36"/>
          <w:szCs w:val="28"/>
        </w:rPr>
        <w:t>)</w:t>
      </w:r>
    </w:p>
    <w:p w14:paraId="5ED7FDC1" w14:textId="77777777" w:rsidR="00A83A1D" w:rsidRPr="0062384F" w:rsidRDefault="00A83A1D" w:rsidP="0062384F">
      <w:pPr>
        <w:spacing w:after="0"/>
        <w:ind w:firstLine="709"/>
        <w:jc w:val="center"/>
        <w:rPr>
          <w:sz w:val="32"/>
          <w:szCs w:val="24"/>
        </w:rPr>
      </w:pPr>
    </w:p>
    <w:p w14:paraId="61C32138" w14:textId="77777777" w:rsidR="00A83A1D" w:rsidRDefault="00A83A1D" w:rsidP="00A83A1D">
      <w:pPr>
        <w:spacing w:after="0"/>
        <w:ind w:firstLine="709"/>
        <w:jc w:val="both"/>
      </w:pPr>
    </w:p>
    <w:p w14:paraId="274A9445" w14:textId="77777777" w:rsidR="00A83A1D" w:rsidRDefault="00A83A1D" w:rsidP="00A83A1D">
      <w:pPr>
        <w:spacing w:after="0"/>
        <w:jc w:val="both"/>
        <w:rPr>
          <w:rFonts w:eastAsia="Calibri" w:cs="Times New Roman"/>
        </w:rPr>
      </w:pPr>
    </w:p>
    <w:p w14:paraId="35E7D87A" w14:textId="77777777" w:rsidR="00A83A1D" w:rsidRDefault="00A83A1D" w:rsidP="00A83A1D">
      <w:pPr>
        <w:spacing w:after="0"/>
        <w:jc w:val="both"/>
        <w:rPr>
          <w:rFonts w:eastAsia="Calibri" w:cs="Times New Roman"/>
        </w:rPr>
      </w:pPr>
    </w:p>
    <w:p w14:paraId="36291405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3A4A0246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4C0EF866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6D04839B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7DC09307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1C6145B8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0660571D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002B6F31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746AC553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6BF3C335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3F4916D0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66A1E0C3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65667084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1CECC034" w14:textId="77777777" w:rsidR="00A83A1D" w:rsidRDefault="00A83A1D" w:rsidP="00A83A1D">
      <w:pPr>
        <w:spacing w:after="0"/>
        <w:rPr>
          <w:rFonts w:eastAsia="Calibri" w:cs="Times New Roman"/>
        </w:rPr>
      </w:pPr>
    </w:p>
    <w:p w14:paraId="576F11C0" w14:textId="25F757B7" w:rsidR="00A83A1D" w:rsidRPr="00F90EEB" w:rsidRDefault="00A83A1D" w:rsidP="00A83A1D">
      <w:pPr>
        <w:spacing w:after="0"/>
        <w:rPr>
          <w:rFonts w:eastAsia="Calibri" w:cs="Times New Roman"/>
        </w:rPr>
      </w:pPr>
      <w:r w:rsidRPr="00F90EEB">
        <w:rPr>
          <w:rFonts w:eastAsia="Calibri" w:cs="Times New Roman"/>
        </w:rPr>
        <w:t>Никитенко Елена Павловна</w:t>
      </w:r>
    </w:p>
    <w:p w14:paraId="5B08E457" w14:textId="77777777" w:rsidR="00A83A1D" w:rsidRPr="00F90EEB" w:rsidRDefault="00A83A1D" w:rsidP="00A83A1D">
      <w:pPr>
        <w:spacing w:after="0"/>
        <w:rPr>
          <w:rFonts w:eastAsia="Calibri" w:cs="Times New Roman"/>
        </w:rPr>
      </w:pPr>
    </w:p>
    <w:p w14:paraId="7F2CC587" w14:textId="77777777" w:rsidR="00A83A1D" w:rsidRPr="00F90EEB" w:rsidRDefault="00A83A1D" w:rsidP="00A83A1D">
      <w:pPr>
        <w:spacing w:after="0"/>
        <w:rPr>
          <w:rFonts w:eastAsia="Calibri" w:cs="Times New Roman"/>
        </w:rPr>
      </w:pPr>
      <w:r w:rsidRPr="00F90EEB">
        <w:rPr>
          <w:rFonts w:eastAsia="Calibri" w:cs="Times New Roman"/>
        </w:rPr>
        <w:t>Педагог-дефектолог</w:t>
      </w:r>
    </w:p>
    <w:p w14:paraId="73A2C9C5" w14:textId="77777777" w:rsidR="00A83A1D" w:rsidRPr="00F90EEB" w:rsidRDefault="00A83A1D" w:rsidP="00A83A1D">
      <w:pPr>
        <w:spacing w:after="0"/>
        <w:rPr>
          <w:rFonts w:eastAsia="Calibri" w:cs="Times New Roman"/>
        </w:rPr>
      </w:pPr>
      <w:r w:rsidRPr="00F90EEB">
        <w:rPr>
          <w:rFonts w:eastAsia="Calibri" w:cs="Times New Roman"/>
        </w:rPr>
        <w:t xml:space="preserve">МДОУ «ДСКВ №13» п. Щеглово Всеволожского района </w:t>
      </w:r>
    </w:p>
    <w:p w14:paraId="472382FA" w14:textId="77777777" w:rsidR="00A83A1D" w:rsidRPr="00F90EEB" w:rsidRDefault="00A83A1D" w:rsidP="00A83A1D">
      <w:pPr>
        <w:spacing w:after="0"/>
        <w:rPr>
          <w:rFonts w:eastAsia="Calibri" w:cs="Times New Roman"/>
        </w:rPr>
      </w:pPr>
      <w:r w:rsidRPr="00F90EEB">
        <w:rPr>
          <w:rFonts w:eastAsia="Calibri" w:cs="Times New Roman"/>
        </w:rPr>
        <w:t>Ленинградской области</w:t>
      </w:r>
    </w:p>
    <w:p w14:paraId="386486C4" w14:textId="77777777" w:rsidR="00A83A1D" w:rsidRPr="00F90EEB" w:rsidRDefault="00A83A1D" w:rsidP="00A83A1D">
      <w:pPr>
        <w:spacing w:after="0"/>
        <w:rPr>
          <w:rFonts w:eastAsia="Calibri" w:cs="Times New Roman"/>
        </w:rPr>
      </w:pPr>
    </w:p>
    <w:p w14:paraId="0392CDCC" w14:textId="77777777" w:rsidR="00A83A1D" w:rsidRPr="00F90EEB" w:rsidRDefault="00A83A1D" w:rsidP="00A83A1D">
      <w:pPr>
        <w:spacing w:after="0"/>
        <w:rPr>
          <w:rFonts w:eastAsia="Calibri" w:cs="Times New Roman"/>
        </w:rPr>
      </w:pPr>
      <w:r w:rsidRPr="00F90EEB">
        <w:rPr>
          <w:rFonts w:eastAsia="Calibri" w:cs="Times New Roman"/>
        </w:rPr>
        <w:t>Телефон: 89219140711</w:t>
      </w:r>
    </w:p>
    <w:p w14:paraId="31EDAE40" w14:textId="77777777" w:rsidR="00A83A1D" w:rsidRPr="00F90EEB" w:rsidRDefault="00A83A1D" w:rsidP="00A83A1D">
      <w:pPr>
        <w:rPr>
          <w:rFonts w:eastAsia="Calibri" w:cs="Times New Roman"/>
        </w:rPr>
      </w:pPr>
    </w:p>
    <w:p w14:paraId="0642AE5C" w14:textId="77777777" w:rsidR="00A83A1D" w:rsidRPr="00F90EEB" w:rsidRDefault="00A83A1D" w:rsidP="00A83A1D">
      <w:pPr>
        <w:rPr>
          <w:rFonts w:eastAsia="Calibri" w:cs="Times New Roman"/>
        </w:rPr>
      </w:pPr>
    </w:p>
    <w:p w14:paraId="0ADEBCBF" w14:textId="77777777" w:rsidR="00A83A1D" w:rsidRDefault="00A83A1D" w:rsidP="006C0B77">
      <w:pPr>
        <w:spacing w:after="0"/>
        <w:ind w:firstLine="709"/>
        <w:jc w:val="both"/>
      </w:pPr>
    </w:p>
    <w:p w14:paraId="5BCDE4FB" w14:textId="77777777" w:rsidR="00A83A1D" w:rsidRDefault="00A83A1D" w:rsidP="006C0B77">
      <w:pPr>
        <w:spacing w:after="0"/>
        <w:ind w:firstLine="709"/>
        <w:jc w:val="both"/>
      </w:pPr>
    </w:p>
    <w:p w14:paraId="493DD9A7" w14:textId="77777777" w:rsidR="0062384F" w:rsidRDefault="0062384F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</w:p>
    <w:p w14:paraId="1F68BA51" w14:textId="64D3C7DD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В наше время проблема сенсорной интеграции у детей стоит особенно остро, дети ограничены в получении взаимодействия с окружающим миром, тактильного взаимодействия (мы ходим в обуви, одежде, ездим на машине). Мы часто, сами того не замечая, вызываем у детей сенсорные перегрузки зрения - слуха и сенсорный голод всего остального. Примерами могут послужить гаджеты, телевизор и компьютер. </w:t>
      </w:r>
    </w:p>
    <w:p w14:paraId="0FC083CE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Поэтому, для улучшения сенсорного развития ребенка необходимо обогащать теорию и практику дошкольного воспитания, т. е. разрабатывать и использовать наиболее эффективные средства и методы сенсорного воспитания в детском саду.</w:t>
      </w:r>
    </w:p>
    <w:p w14:paraId="678D2929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 Фундамент сенсорного развития и интеграции – это взаимодействие органов чувств ребенка. А для полноценного развития мозгу необходимо постоянное поступление сенсорной информации. Чем больше информации поступает в мозг, тем больше мозгу приходится трудиться, чтобы ее переработать. А что тренируется, то развивается.</w:t>
      </w:r>
    </w:p>
    <w:p w14:paraId="2D70F3FF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Сенсорная интеграция- взаимодействие всех органов чувств, возможность адекватно реагировать на определенные стимулы и действовать в соответствии с ситуацией. Это возможность ребенка почувствовать и понять мир, который его окружает. </w:t>
      </w:r>
    </w:p>
    <w:p w14:paraId="614D38E7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Понятие личного чувственного (сенсорного) опыта неразрывно связано с полисенсорным восприятием. Полисенсорное восприятие - важнейший сенсорный процесс, который направлен на опознание и обследование объекта, раскрытие его особенностей, который тесно связан с сенсорная интеграцией- восприятием информации, одновременно поступающей по нескольким чувственным каналам, и объединение этой информации в единую целостную картину мира:</w:t>
      </w:r>
    </w:p>
    <w:p w14:paraId="6A8CE9C1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-Восприятие сигналов из внешнего мира и внутренней среды организма формируется на основе совместной деятельности ряда сенсорных систем: зрительной, слуховой, тактильной, проприоцептивной, вестибулярной, вкусовой и обонятельной.</w:t>
      </w:r>
    </w:p>
    <w:p w14:paraId="3AF08A46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-Многоканальный характер восприятия позволяет человеку использовать несколько органов чувств одновременно: ощущения различных модальностей в результате сложной аналитико-синтетической деятельности мозга </w:t>
      </w:r>
      <w:r w:rsidRPr="00F90EEB">
        <w:rPr>
          <w:rFonts w:eastAsia="Calibri" w:cs="Times New Roman"/>
          <w:szCs w:val="28"/>
        </w:rPr>
        <w:lastRenderedPageBreak/>
        <w:t>объединяются в целостный образ предмета явления, ситуации и интерпретируются в соответствии с прежним сенсорным опытом.</w:t>
      </w:r>
    </w:p>
    <w:p w14:paraId="38F56E41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В раннем и дошкольном возрасте ребёнок знакомится с окружающими предметами, осваивает необходимые в будущем предметные действия:</w:t>
      </w:r>
    </w:p>
    <w:p w14:paraId="3A9390C0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 интересуется окружающими предметами и активно действует с ними;</w:t>
      </w:r>
    </w:p>
    <w:p w14:paraId="4A24E71F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-эмоционально вовлечён в действия с игрушками и другими предметами;</w:t>
      </w:r>
    </w:p>
    <w:p w14:paraId="04C37425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 использует специфические предметные действия;</w:t>
      </w:r>
    </w:p>
    <w:p w14:paraId="594B67C9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 знает назначение бытовых предметов, их названия;</w:t>
      </w:r>
    </w:p>
    <w:p w14:paraId="3CD97AA3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 понимает речь взрослых.</w:t>
      </w:r>
    </w:p>
    <w:p w14:paraId="7E429946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Чтобы этому научиться, ребёнок должен реализовать свои потребности: всё потрогать, попробовать, потрепать, поэкспериментировать со всеми предметами, которые его окружают, подвигать их в пространстве. Только так он приобретёт опыт, необходимый для развития, который станет основой формирования предметных действий, а в дальнейшем овладением предметной деятельностью, игровой, учебной.</w:t>
      </w:r>
    </w:p>
    <w:p w14:paraId="5BFF1F5E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Поэтому формирование личного сенсорного опыта- важное условие развития социально-бытовых навыков и предметных представлений у детей с ТМНР. Ведь каждый ребенок имеет право на познавательное, социально-коммуникативное и физическое развитие.</w:t>
      </w:r>
    </w:p>
    <w:p w14:paraId="65634C9C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b/>
          <w:bCs/>
          <w:szCs w:val="28"/>
        </w:rPr>
      </w:pPr>
      <w:r w:rsidRPr="00F90EEB">
        <w:rPr>
          <w:rFonts w:eastAsia="Calibri" w:cs="Times New Roman"/>
          <w:b/>
          <w:bCs/>
          <w:szCs w:val="28"/>
        </w:rPr>
        <w:t>Особенности формирования сенсорного опыта у детей с ТМНР</w:t>
      </w:r>
    </w:p>
    <w:p w14:paraId="2D7EF95B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Многие проблемы обучения и поведения детей с ТМНР являются результатом искажения процесса восприятия сенсорной информации:</w:t>
      </w:r>
    </w:p>
    <w:p w14:paraId="7B30D51F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-Для них характерна неспособность интегрировать сенсорную информацию, поступающую от различных органов чувств, для того чтобы получить точную картину реального окружения.</w:t>
      </w:r>
    </w:p>
    <w:p w14:paraId="1B6D07E4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-Они часто имеют моноканальный характер восприятия: они вычленяют их широкого спектра сенсорных сигналов отдельные аффективно значимые для них раздражители цвета, формы, звуки, запахи и пр., поэтому окружающий мир выступает для них как хаотичный и раздробленный.</w:t>
      </w:r>
    </w:p>
    <w:p w14:paraId="40D47298" w14:textId="77777777" w:rsidR="00A83A1D" w:rsidRPr="00F90EEB" w:rsidRDefault="00A83A1D" w:rsidP="00A83A1D">
      <w:pPr>
        <w:spacing w:line="276" w:lineRule="auto"/>
        <w:ind w:left="720"/>
        <w:jc w:val="both"/>
        <w:rPr>
          <w:rFonts w:eastAsia="Calibri" w:cs="Times New Roman"/>
          <w:b/>
          <w:bCs/>
          <w:szCs w:val="28"/>
        </w:rPr>
      </w:pPr>
      <w:r w:rsidRPr="00F90EEB">
        <w:rPr>
          <w:rFonts w:eastAsia="Calibri" w:cs="Times New Roman"/>
          <w:b/>
          <w:bCs/>
          <w:szCs w:val="28"/>
        </w:rPr>
        <w:t xml:space="preserve">Причины нарушения формирования личного сенсорного опыта </w:t>
      </w:r>
    </w:p>
    <w:p w14:paraId="313D16F9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Все дети разные, у кого-то наблюдаются признаки расстройства осязания, у кого-то признаки проприоцептивной дисфункции, у кого-то признаки тактильной и вестибулярной дисфункции, а кто-то из детей обладает </w:t>
      </w:r>
      <w:r w:rsidRPr="00F90EEB">
        <w:rPr>
          <w:rFonts w:eastAsia="Calibri" w:cs="Times New Roman"/>
          <w:szCs w:val="28"/>
        </w:rPr>
        <w:lastRenderedPageBreak/>
        <w:t>и сочетанием «отклонений», поэтому при организации образовательного пространства, видов и форм образовательной деятельности необходимо учитывать индивидуальные потребности и возможности ребенка, что также подчеркивается и во ФГОС ДО.</w:t>
      </w:r>
    </w:p>
    <w:p w14:paraId="0FA71B90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 СДВГ, СДВ, РАС, ЗПР, ЗПРР, страхи и неврозы, проблемы с восприятием информации, сложности социальной адаптации, трудности в обучении, особенности эмоционально-волевой и поведенческой деятельности, нарушение координации</w:t>
      </w:r>
    </w:p>
    <w:p w14:paraId="18D91345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Зная индивидуальные особенности ребенка, педагогу не составит труда простроить последовательность видов деятельности во время занятий и в индивидуальной работе. </w:t>
      </w:r>
    </w:p>
    <w:p w14:paraId="5AC4FB22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Одним из видов помощи являются занятия, основанные на идее сенсорной интеграции. Этот метод был разработан </w:t>
      </w:r>
      <w:proofErr w:type="spellStart"/>
      <w:r w:rsidRPr="00F90EEB">
        <w:rPr>
          <w:rFonts w:eastAsia="Calibri" w:cs="Times New Roman"/>
          <w:szCs w:val="28"/>
        </w:rPr>
        <w:t>Дж.Айрес</w:t>
      </w:r>
      <w:proofErr w:type="spellEnd"/>
      <w:r w:rsidRPr="00F90EEB">
        <w:rPr>
          <w:rFonts w:eastAsia="Calibri" w:cs="Times New Roman"/>
          <w:szCs w:val="28"/>
        </w:rPr>
        <w:t>, и направлен на стимуляцию работы органов чувств в условиях координации различных сенсорных систем. Этот метод реализуется в двух направлениях: создание специальных средовых условий, облегчающих восприятие окружающих объектов и продуктивное взаимодействие с ними; совершенствование отдельных перцептивных умений и обучение комплексному использованию этих умений.</w:t>
      </w:r>
    </w:p>
    <w:p w14:paraId="51E3229D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b/>
          <w:bCs/>
          <w:szCs w:val="28"/>
        </w:rPr>
      </w:pPr>
      <w:r w:rsidRPr="00F90EEB">
        <w:rPr>
          <w:rFonts w:eastAsia="Calibri" w:cs="Times New Roman"/>
          <w:szCs w:val="28"/>
        </w:rPr>
        <w:t xml:space="preserve">            Дети с нарушением процесса обработки сенсорной информации нуждаются в поддержке. Чтобы каждый ребенок стал более успешным необходимо внимательное отношение к сильным и слабым сторонам, важно учитывать предпочтения детей. Ребенку нужно показать, как найти решение его проблем, знать, что с ним все хорошо, что это нормально, когда люди обладают разными возможностями, и что он может быть успешным. А для этого необходимо проводить специальные развивающие мероприятия, направленные на улучшение интеграции между различными сенсорными системами, то есть обеспечить детям возможность получать ощущения различных модальностей</w:t>
      </w:r>
      <w:r w:rsidRPr="00F90EEB">
        <w:rPr>
          <w:rFonts w:eastAsia="Calibri" w:cs="Times New Roman"/>
          <w:b/>
          <w:bCs/>
          <w:szCs w:val="28"/>
        </w:rPr>
        <w:t>.</w:t>
      </w:r>
    </w:p>
    <w:p w14:paraId="11B3C405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b/>
          <w:bCs/>
          <w:szCs w:val="28"/>
        </w:rPr>
      </w:pPr>
      <w:r w:rsidRPr="00F90EEB">
        <w:rPr>
          <w:rFonts w:eastAsia="Calibri" w:cs="Times New Roman"/>
          <w:szCs w:val="28"/>
        </w:rPr>
        <w:t xml:space="preserve">            Таким образом, дисфункция полисенсорного восприятия и сенсорной интеграции проявляется через ограничения поведенческого спектра:</w:t>
      </w:r>
    </w:p>
    <w:p w14:paraId="3873A545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-Гипофункция — в виде сенсорных защит (избегает зрительного контакта, боится большого скопления людей, не переносит некоторые звуки и прикосновения, отказывается от ношения определённой одежды, скован и осторожен в движениях и др.)</w:t>
      </w:r>
    </w:p>
    <w:p w14:paraId="47981D69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-Гиперфункция — в виде сенсорной аутостимуляции</w:t>
      </w:r>
    </w:p>
    <w:p w14:paraId="31AD1AB7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lastRenderedPageBreak/>
        <w:t>(однообразные манипуляции с предметами, взмахи рук, застывания в определенных странных позах, избирательное напряжение отдельных мышц и суставов, бег по кругу, прыжки, кружение, раскачивание и другие действия с целью воспроизведения одного и того же приятного впечатления).</w:t>
      </w:r>
    </w:p>
    <w:p w14:paraId="58E6A297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Контингент детей нашей группы компенсирующей направленности для детей с ЗПР очень разнообразен. В последнее время наблюдается тенденция к увеличению количества детей с множественными тяжелыми нарушениями: интеллектуальными, речевыми, поведенческими, двигательными. Эта категория детей дошкольного возраста определяется как «имеющие вариативные сочетания нескольких первичных нарушений (интеллектуальных, сенсорных, двигательных) различной степени тяжести. Иными словами, дети с ТМНР:</w:t>
      </w:r>
    </w:p>
    <w:p w14:paraId="22F858F8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-Дети с комплексными нарушениями в развитии.</w:t>
      </w:r>
    </w:p>
    <w:p w14:paraId="2C79DAF7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-Дети со сложными дефектами</w:t>
      </w:r>
    </w:p>
    <w:p w14:paraId="59D20A66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Дети с ТМНР представляют сумму не просто двух и более нарушений в развитии, а качественно новую структуру дефекта, отличающегося от структуры каждого нарушения, входящего в комплекс ТМНР.</w:t>
      </w:r>
    </w:p>
    <w:p w14:paraId="69E5CEA2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Возрастные нормы для этих детей не приемлемы. У детей данной нозологической группы действительно не развиты или нарушены каналы восприятия, обеднена чувственная сфера, что влечёт за собой трудности овладением знаниями о предметах и предметными действиями, и, как следствие – сенсорный голод, т.е. несформированность личного чувственного опыта.</w:t>
      </w:r>
    </w:p>
    <w:p w14:paraId="3035060D" w14:textId="77777777" w:rsidR="00A83A1D" w:rsidRPr="00F90EEB" w:rsidRDefault="00A83A1D" w:rsidP="00A83A1D">
      <w:pPr>
        <w:spacing w:line="276" w:lineRule="auto"/>
        <w:ind w:firstLine="709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Это требует изменений в программном обеспечении, диагностического инструментария, соответствующей наполняемости предметно-пространственной среды, и средств индивидуальной реабилитации.</w:t>
      </w:r>
    </w:p>
    <w:p w14:paraId="7D35FB75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Важно направить эти составляющие на стимуляцию работы органов чувств в условиях координации различных сенсорных систем.</w:t>
      </w:r>
    </w:p>
    <w:p w14:paraId="1AFCB66F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            Поэтому в своей работе мы используем метод сенсорной интеграции, который нашёл своё применение в коррекционно-развивающей работе с детьми, имеющими трудности в обучении, с детьми, имеющими гиперактивность и дефицит внимания.</w:t>
      </w:r>
    </w:p>
    <w:p w14:paraId="6BEF8EC6" w14:textId="77777777" w:rsidR="00A83A1D" w:rsidRPr="00F90EEB" w:rsidRDefault="00A83A1D" w:rsidP="00A83A1D">
      <w:pPr>
        <w:spacing w:after="0" w:line="276" w:lineRule="auto"/>
        <w:jc w:val="center"/>
        <w:rPr>
          <w:rFonts w:eastAsia="Calibri" w:cs="Times New Roman"/>
          <w:b/>
          <w:bCs/>
          <w:szCs w:val="28"/>
        </w:rPr>
      </w:pPr>
      <w:r w:rsidRPr="00F90EEB">
        <w:rPr>
          <w:rFonts w:eastAsia="Calibri" w:cs="Times New Roman"/>
          <w:b/>
          <w:bCs/>
          <w:szCs w:val="28"/>
        </w:rPr>
        <w:t>Метод сенсорной интеграции</w:t>
      </w:r>
    </w:p>
    <w:p w14:paraId="60452296" w14:textId="77777777" w:rsidR="00A83A1D" w:rsidRPr="00F90EEB" w:rsidRDefault="00A83A1D" w:rsidP="00A83A1D">
      <w:pPr>
        <w:spacing w:after="0" w:line="276" w:lineRule="auto"/>
        <w:jc w:val="center"/>
        <w:rPr>
          <w:rFonts w:eastAsia="Calibri" w:cs="Times New Roman"/>
          <w:szCs w:val="28"/>
        </w:rPr>
      </w:pPr>
      <w:r w:rsidRPr="00F90EEB">
        <w:rPr>
          <w:rFonts w:eastAsia="Calibri" w:cs="Times New Roman"/>
          <w:b/>
          <w:bCs/>
          <w:szCs w:val="28"/>
        </w:rPr>
        <w:t>в формировании личного чувственного опыта ребенка с ТМНР</w:t>
      </w:r>
    </w:p>
    <w:p w14:paraId="574CBA9E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lastRenderedPageBreak/>
        <w:t>Данный метод удовлетворяет потребность ребёнка в осознании себя, а также окружающего предметного мира, а также обеспечивает развитие моторных, познавательных сенсорных и досуговых умений.</w:t>
      </w:r>
    </w:p>
    <w:p w14:paraId="35A02F58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b/>
          <w:bCs/>
          <w:i/>
          <w:iCs/>
          <w:szCs w:val="28"/>
        </w:rPr>
      </w:pPr>
      <w:r w:rsidRPr="00F90EEB">
        <w:rPr>
          <w:rFonts w:eastAsia="Calibri" w:cs="Times New Roman"/>
          <w:szCs w:val="28"/>
        </w:rPr>
        <w:t>Метод сенсорной интеграции предполагает стимуляцию работы органов чувств в условиях координации различных сенсорных систем и реализуется в двух основных направлениях:</w:t>
      </w:r>
    </w:p>
    <w:p w14:paraId="5D4504AE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-Создание специальных средовых условий облегчают восприятие окружающих объектов и продуктивное взаимодействие с ними; адаптируют среду с учётом потребностей ребёнка с дисфункцией сенсорной интеграции</w:t>
      </w:r>
    </w:p>
    <w:p w14:paraId="3BD16C84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b/>
          <w:bCs/>
          <w:i/>
          <w:iCs/>
          <w:szCs w:val="28"/>
        </w:rPr>
      </w:pPr>
      <w:r w:rsidRPr="00F90EEB">
        <w:rPr>
          <w:rFonts w:eastAsia="Calibri" w:cs="Times New Roman"/>
          <w:b/>
          <w:bCs/>
          <w:i/>
          <w:iCs/>
          <w:szCs w:val="28"/>
        </w:rPr>
        <w:t>-</w:t>
      </w:r>
      <w:r w:rsidRPr="00F90EEB">
        <w:rPr>
          <w:rFonts w:eastAsia="Calibri" w:cs="Times New Roman"/>
          <w:szCs w:val="28"/>
        </w:rPr>
        <w:t>Развитие способов полисенсорного восприятия предполагает</w:t>
      </w:r>
      <w:r w:rsidRPr="00F90EEB">
        <w:rPr>
          <w:rFonts w:eastAsia="Calibri" w:cs="Times New Roman"/>
          <w:b/>
          <w:bCs/>
          <w:i/>
          <w:iCs/>
          <w:szCs w:val="28"/>
        </w:rPr>
        <w:t xml:space="preserve"> </w:t>
      </w:r>
      <w:r w:rsidRPr="00F90EEB">
        <w:rPr>
          <w:rFonts w:eastAsia="Calibri" w:cs="Times New Roman"/>
          <w:szCs w:val="28"/>
        </w:rPr>
        <w:t>совершенствование отдельных перцептивных умений зрительных, слуховых, тактильных и др.;</w:t>
      </w:r>
      <w:r w:rsidRPr="00F90EEB">
        <w:rPr>
          <w:rFonts w:eastAsia="Calibri" w:cs="Times New Roman"/>
          <w:b/>
          <w:bCs/>
          <w:i/>
          <w:iCs/>
          <w:szCs w:val="28"/>
        </w:rPr>
        <w:t xml:space="preserve"> </w:t>
      </w:r>
      <w:r w:rsidRPr="00F90EEB">
        <w:rPr>
          <w:rFonts w:eastAsia="Calibri" w:cs="Times New Roman"/>
          <w:szCs w:val="28"/>
        </w:rPr>
        <w:t>обучение комплексному использованию этих умений синтез информации, поступающих от различных органов чувств.</w:t>
      </w:r>
    </w:p>
    <w:p w14:paraId="6C3CCD9B" w14:textId="77777777" w:rsidR="00A83A1D" w:rsidRPr="00F90EEB" w:rsidRDefault="00A83A1D" w:rsidP="00A83A1D">
      <w:pPr>
        <w:spacing w:line="276" w:lineRule="auto"/>
        <w:jc w:val="center"/>
        <w:rPr>
          <w:rFonts w:eastAsia="Calibri" w:cs="Times New Roman"/>
          <w:b/>
          <w:bCs/>
          <w:szCs w:val="28"/>
        </w:rPr>
      </w:pPr>
      <w:r w:rsidRPr="00F90EEB">
        <w:rPr>
          <w:rFonts w:eastAsia="Calibri" w:cs="Times New Roman"/>
          <w:b/>
          <w:bCs/>
          <w:szCs w:val="28"/>
        </w:rPr>
        <w:t>Средства реализации метода сенсорной интеграции</w:t>
      </w:r>
    </w:p>
    <w:p w14:paraId="73A8A259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 Пропедевтика общей моторики или комплекс специальных игр и упражнений, направленных на улучшение сенсорной интеграции:</w:t>
      </w:r>
    </w:p>
    <w:p w14:paraId="27693807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вращение по кругу, раскачивание на качелях, пролезание в ограниченное пространство, преодоление препятствий, имитация движений животных,</w:t>
      </w:r>
    </w:p>
    <w:p w14:paraId="0A973C96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движения под музыку, пение песен с движениями, подражание позам и очерёдности движений, броски в цель бумажных снежков, игры с мыльными пузырями, дидактические игры на материале твердых и мягких вкладок, мозаик, матрешек, конструктивных, разбирающихся по частям предметов и игрушек, исследовательские игры с водой, с песком, камешками.</w:t>
      </w:r>
    </w:p>
    <w:p w14:paraId="66FC0A60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-Специально оборудованный сенсорный уголок в группе.</w:t>
      </w:r>
    </w:p>
    <w:p w14:paraId="6E26F471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Сенсорный уголок представляет собой искусственно созданное окружение, где ребенок с ТМНР, пребывая в безопасной, комфортной обстановке, наполненной разнообразными стимулами, самостоятельно или при ненавязчивом сопровождении специалиста исследует среду.  В условиях сенсорного уголка используется массированный поток информации на каждую сенсорную систему.  Одновременная стимуляция нескольких сенсорных систем приводит не только к повышению активности восприятия, но и к обеспечению сенсорной интеграции ребенка. </w:t>
      </w:r>
    </w:p>
    <w:p w14:paraId="677C7EA5" w14:textId="77777777" w:rsidR="00A83A1D" w:rsidRPr="00F90EEB" w:rsidRDefault="00A83A1D" w:rsidP="00A83A1D">
      <w:pPr>
        <w:spacing w:line="276" w:lineRule="auto"/>
        <w:rPr>
          <w:rFonts w:eastAsia="Calibri" w:cs="Times New Roman"/>
          <w:b/>
          <w:bCs/>
          <w:szCs w:val="28"/>
        </w:rPr>
      </w:pPr>
      <w:r w:rsidRPr="00F90EEB">
        <w:rPr>
          <w:rFonts w:eastAsia="Calibri" w:cs="Times New Roman"/>
          <w:b/>
          <w:bCs/>
          <w:szCs w:val="28"/>
        </w:rPr>
        <w:t xml:space="preserve">Основные материалы, среда                                                                                                                                           </w:t>
      </w:r>
      <w:r w:rsidRPr="00F90EEB">
        <w:rPr>
          <w:rFonts w:eastAsia="Calibri" w:cs="Times New Roman"/>
          <w:szCs w:val="28"/>
        </w:rPr>
        <w:t>-Мягкая среда (мягкие многофункциональные модули, муляжи, игрушки-заменители, мягкие подушечки).</w:t>
      </w:r>
    </w:p>
    <w:p w14:paraId="2E1379DA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lastRenderedPageBreak/>
        <w:t>-Звуковая среда (музыкальные инструменты мерцающий металлофон, ложки, треугольник, бубен, маракасы; музыкальные игрушки музыкальные шкатулки и карусели, звенящие мячи)</w:t>
      </w:r>
    </w:p>
    <w:p w14:paraId="3C3667FA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-Тактильная среда (тактильные досочки из разнообразных материалов; фольги, наждачной шкурки, кожи, меха, шерсти, обоев, поролона, дерева; стенды с различными видами застежек пуговицами, молниями, пряжками, крючками, шнуровкой, бантами, кнопками, липучками; сенсорная тропа для ног; стол-ванна для песка и воды; пальчиковые бассейны наполнители — горох, фасоль, каштаны, крупы; массажный коврик)</w:t>
      </w:r>
    </w:p>
    <w:p w14:paraId="0E3FBC1D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-Воздушная среда (ароматические палочки; комнатные растения)</w:t>
      </w:r>
    </w:p>
    <w:p w14:paraId="3E20534A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b/>
          <w:bCs/>
          <w:szCs w:val="28"/>
        </w:rPr>
      </w:pPr>
      <w:r w:rsidRPr="00F90EEB">
        <w:rPr>
          <w:rFonts w:eastAsia="Calibri" w:cs="Times New Roman"/>
          <w:b/>
          <w:bCs/>
          <w:szCs w:val="28"/>
        </w:rPr>
        <w:t xml:space="preserve">Дополнительные материалы </w:t>
      </w:r>
    </w:p>
    <w:p w14:paraId="792824E8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В специальных сенсорных емкостях можно собрать разнообразную коллекцию визуальных, тактильных, звуковых и др. стимулов</w:t>
      </w:r>
      <w:r w:rsidRPr="00F90EEB">
        <w:rPr>
          <w:rFonts w:eastAsia="Calibri" w:cs="Times New Roman"/>
          <w:b/>
          <w:bCs/>
          <w:szCs w:val="28"/>
        </w:rPr>
        <w:t>.</w:t>
      </w:r>
    </w:p>
    <w:p w14:paraId="141CCF1F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-Коробка зрительных ощущений</w:t>
      </w:r>
    </w:p>
    <w:p w14:paraId="30428F09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-Коробка тактильных и двигательных ощущений</w:t>
      </w:r>
    </w:p>
    <w:p w14:paraId="04761DA5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-Коробка слуховых ощущений</w:t>
      </w:r>
    </w:p>
    <w:p w14:paraId="425C0075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  <w:shd w:val="clear" w:color="auto" w:fill="FFFFFF"/>
        </w:rPr>
      </w:pPr>
      <w:r w:rsidRPr="00F90EEB">
        <w:rPr>
          <w:rFonts w:eastAsia="Calibri" w:cs="Times New Roman"/>
          <w:szCs w:val="28"/>
        </w:rPr>
        <w:t>-Емкость обонятельных ощущений.</w:t>
      </w:r>
      <w:r w:rsidRPr="00F90EEB">
        <w:rPr>
          <w:rFonts w:eastAsia="Calibri" w:cs="Times New Roman"/>
          <w:szCs w:val="28"/>
          <w:shd w:val="clear" w:color="auto" w:fill="FFFFFF"/>
        </w:rPr>
        <w:t xml:space="preserve"> </w:t>
      </w:r>
    </w:p>
    <w:p w14:paraId="5E8A6736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b/>
          <w:bCs/>
          <w:szCs w:val="28"/>
        </w:rPr>
      </w:pPr>
      <w:r w:rsidRPr="00F90EEB">
        <w:rPr>
          <w:rFonts w:eastAsia="Calibri" w:cs="Times New Roman"/>
          <w:b/>
          <w:bCs/>
          <w:szCs w:val="28"/>
        </w:rPr>
        <w:t xml:space="preserve">Современный инструментарий «Наборы методических материалов для развития и коррекции восприятия детей дошкольного возраста».                  </w:t>
      </w:r>
    </w:p>
    <w:p w14:paraId="7EA6733B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Данная авторская методика Войлоковой Елены Федоровны </w:t>
      </w:r>
      <w:proofErr w:type="spellStart"/>
      <w:r w:rsidRPr="00F90EEB">
        <w:rPr>
          <w:rFonts w:eastAsia="Calibri" w:cs="Times New Roman"/>
          <w:szCs w:val="28"/>
        </w:rPr>
        <w:t>к.п.н</w:t>
      </w:r>
      <w:proofErr w:type="spellEnd"/>
      <w:r w:rsidRPr="00F90EEB">
        <w:rPr>
          <w:rFonts w:eastAsia="Calibri" w:cs="Times New Roman"/>
          <w:szCs w:val="28"/>
        </w:rPr>
        <w:t>., доцента кафедры олигофренопедагогики ФГБОУ ВПО «Российский государственный педагогический университет имени А. И. Герцена» предполагает развитие полисенсорного восприятия детей с ОВЗ, в том числе с умственной недостаточностью и с ТМНР.                                                                                                               В набор входит практический материал и методическое руководство «Знакомство с цветом», «Знакомство с формой», «Свойства предметов».</w:t>
      </w:r>
      <w:r w:rsidRPr="00F90EEB">
        <w:rPr>
          <w:rFonts w:eastAsia="Calibri" w:cs="Times New Roman"/>
          <w:b/>
          <w:bCs/>
          <w:szCs w:val="28"/>
        </w:rPr>
        <w:t xml:space="preserve"> </w:t>
      </w:r>
      <w:r w:rsidRPr="00F90EEB">
        <w:rPr>
          <w:rFonts w:eastAsia="Calibri" w:cs="Times New Roman"/>
          <w:szCs w:val="28"/>
        </w:rPr>
        <w:t xml:space="preserve">«Наборы методических материалов для развития и коррекции восприятия детей дошкольного возраста» позволяют детям с ТМНР сформировать базовые сенсорные эталоны формы, цвета, величины и качества предметов для дальнейшей сенсорной интеграции. </w:t>
      </w:r>
    </w:p>
    <w:p w14:paraId="529F9EDC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Методика развития полисенсорного восприятия позволяет упражнять детей в осязательном, зрительном обследовании частей, свойств, признаков предметов, называя их и выделяя определенные качества и свойства.  Все эти пособия и игры направлены на развитие сенсорных систем ребенка, имеющего нарушения сенсорной интеграции. В начале в совместной деятельности, а затем и в самостоятельной ребенок выполняет специально подобранные </w:t>
      </w:r>
      <w:r w:rsidRPr="00F90EEB">
        <w:rPr>
          <w:rFonts w:eastAsia="Calibri" w:cs="Times New Roman"/>
          <w:szCs w:val="28"/>
        </w:rPr>
        <w:lastRenderedPageBreak/>
        <w:t>упражнения на зрительно-моторную координацию, тактильную, слуховую чувствительность, вестибулярную и проприоцептивную чувствительность.</w:t>
      </w:r>
      <w:r w:rsidRPr="00F90EEB">
        <w:rPr>
          <w:rFonts w:eastAsia="Calibri" w:cs="Times New Roman"/>
          <w:b/>
          <w:bCs/>
          <w:szCs w:val="28"/>
          <w:shd w:val="clear" w:color="auto" w:fill="FFFFFF"/>
        </w:rPr>
        <w:t xml:space="preserve"> </w:t>
      </w:r>
      <w:r w:rsidRPr="00F90EEB">
        <w:rPr>
          <w:rFonts w:eastAsia="Calibri" w:cs="Times New Roman"/>
          <w:szCs w:val="28"/>
        </w:rPr>
        <w:t>Проприоцептивная чувствительность – совокупность способностей человека ориентироваться в положении своих конечностей по их отношению друг к другу, воспринимать собственные движения и оценивать сопротивление совершаемым движениям. Тем самым стимулируется работа органов чувств в условиях координации различных сенсорных систем. Для того чтобы в памяти ребенка закрепилось любое понятие, его название, он должен его увидеть, услышать, попробовать и потрогать, ведь познавательная активность ребенка дошкольника выражается, прежде всего, в развитии восприятия, символической (знаковой) функции мышления и осмысленной предметной деятельности.</w:t>
      </w:r>
    </w:p>
    <w:p w14:paraId="509E44A6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Таким образом, способность к полисенсорному восприятию и сенсорной интеграции позволяет ребёнку с ТМНР синтезировать целостную картину окружающего мира и адекватно взаимодействовать с ним.</w:t>
      </w:r>
    </w:p>
    <w:p w14:paraId="62BC6F44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 Её дисфункция приводит к деформации поведения - самозащите или аутостимуляции, провоцирует возникновение трудностей в организации активных и гибких отношений со средой. </w:t>
      </w:r>
    </w:p>
    <w:p w14:paraId="7205712C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Метод полисенсорного восприятия и сенсорной интеграции позволяет нормализовать чувствительность ребенка с ТМНР и оказать ему помощь в приёме, переработке и использовании сенсорной информации.</w:t>
      </w:r>
    </w:p>
    <w:p w14:paraId="55D38D49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Интеллектуальные и психофизические возможности детей с ТМНР очень индивидуальны, поэтому подбор методов работы с ребёнком также осуществляется индивидуально.</w:t>
      </w:r>
    </w:p>
    <w:p w14:paraId="2FDFFD5E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Один из методов работы – имитация. Он может стать основой обучения детей с ТМНР. Этот метод не является лёгким, т.к. требует концентрации внимания на действиях другого человека.                                                                                                                    У детей с ТМНР присутствует нарушение сенсорной интеграции, т.е. её дисфункция, как правило, комплексная, поэтому для каждого ребёнка способы взаимодействия с окружающей средой подбираются строго индивидуально.</w:t>
      </w:r>
    </w:p>
    <w:p w14:paraId="3F07BC71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Один из методов – использование дидактики Монтессори, где целью формирования личности ребёнка является развитие интеллекта и познавательных способностей, а основой всех процессов – восприятие.</w:t>
      </w:r>
    </w:p>
    <w:p w14:paraId="26D504DB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b/>
          <w:bCs/>
          <w:szCs w:val="28"/>
        </w:rPr>
      </w:pPr>
      <w:r w:rsidRPr="00F90EEB">
        <w:rPr>
          <w:rFonts w:eastAsia="Calibri" w:cs="Times New Roman"/>
          <w:szCs w:val="28"/>
        </w:rPr>
        <w:t>Интерактивные игры для развивающих и коррекционных занятий для детей Мерсибо,</w:t>
      </w:r>
      <w:r w:rsidRPr="00F90EEB">
        <w:rPr>
          <w:rFonts w:eastAsia="Calibri" w:cs="Times New Roman"/>
          <w:b/>
          <w:bCs/>
          <w:szCs w:val="28"/>
        </w:rPr>
        <w:t xml:space="preserve"> </w:t>
      </w:r>
      <w:r w:rsidRPr="00F90EEB">
        <w:rPr>
          <w:rFonts w:eastAsia="Calibri" w:cs="Times New Roman"/>
          <w:szCs w:val="28"/>
        </w:rPr>
        <w:t>программно-аппаратный комплекс «Колибри».</w:t>
      </w:r>
    </w:p>
    <w:p w14:paraId="55281C2D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b/>
          <w:bCs/>
          <w:szCs w:val="28"/>
        </w:rPr>
        <w:lastRenderedPageBreak/>
        <w:t> </w:t>
      </w:r>
      <w:r w:rsidRPr="00F90EEB">
        <w:rPr>
          <w:rFonts w:eastAsia="Calibri" w:cs="Times New Roman"/>
          <w:szCs w:val="28"/>
        </w:rPr>
        <w:t>Метод альтернативной системы коммуникации и развития речи PECS.</w:t>
      </w:r>
      <w:r w:rsidRPr="00F90EEB">
        <w:rPr>
          <w:rFonts w:eastAsia="Calibri" w:cs="Times New Roman"/>
          <w:b/>
          <w:bCs/>
          <w:szCs w:val="28"/>
        </w:rPr>
        <w:t xml:space="preserve"> </w:t>
      </w:r>
      <w:r w:rsidRPr="00F90EEB">
        <w:rPr>
          <w:rFonts w:eastAsia="Calibri" w:cs="Times New Roman"/>
          <w:szCs w:val="28"/>
        </w:rPr>
        <w:t xml:space="preserve">PECS – это система коммуникации, при которой человек, не владеющий (или очень плохо владеющий) устной речью, использует картинку/карточку, для того чтобы выразить просьбу, прокомментировать событие, ответить на вопрос и т.д. Данный метод </w:t>
      </w:r>
      <w:bookmarkStart w:id="0" w:name="_Hlk148644831"/>
      <w:r w:rsidRPr="00F90EEB">
        <w:rPr>
          <w:rFonts w:eastAsia="Calibri" w:cs="Times New Roman"/>
          <w:szCs w:val="28"/>
        </w:rPr>
        <w:t xml:space="preserve">позволяет быстро приобрести базисные функциональные навыки </w:t>
      </w:r>
      <w:bookmarkEnd w:id="0"/>
      <w:r w:rsidRPr="00F90EEB">
        <w:rPr>
          <w:rFonts w:eastAsia="Calibri" w:cs="Times New Roman"/>
          <w:szCs w:val="28"/>
        </w:rPr>
        <w:t>коммуникации;</w:t>
      </w:r>
      <w:r w:rsidRPr="00F90EEB">
        <w:rPr>
          <w:rFonts w:eastAsia="Calibri" w:cs="Times New Roman"/>
          <w:b/>
          <w:bCs/>
          <w:szCs w:val="28"/>
        </w:rPr>
        <w:t xml:space="preserve"> </w:t>
      </w:r>
      <w:r w:rsidRPr="00F90EEB">
        <w:rPr>
          <w:rFonts w:eastAsia="Calibri" w:cs="Times New Roman"/>
          <w:szCs w:val="28"/>
        </w:rPr>
        <w:t>ребёнок обучается проявлению инициативы и спонтанному произнесению слов;</w:t>
      </w:r>
      <w:r w:rsidRPr="00F90EEB">
        <w:rPr>
          <w:rFonts w:eastAsia="Calibri" w:cs="Times New Roman"/>
          <w:b/>
          <w:bCs/>
          <w:szCs w:val="28"/>
        </w:rPr>
        <w:t xml:space="preserve"> </w:t>
      </w:r>
      <w:r w:rsidRPr="00F90EEB">
        <w:rPr>
          <w:rFonts w:eastAsia="Calibri" w:cs="Times New Roman"/>
          <w:szCs w:val="28"/>
        </w:rPr>
        <w:t>ему становится доступным общение с окружающими.</w:t>
      </w:r>
    </w:p>
    <w:p w14:paraId="7ECDC349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Включение в коррекционную работу элементов STEM – технологии,</w:t>
      </w:r>
      <w:r w:rsidRPr="00F90EEB">
        <w:rPr>
          <w:rFonts w:eastAsia="Calibri" w:cs="Times New Roman"/>
          <w:b/>
          <w:bCs/>
          <w:szCs w:val="28"/>
        </w:rPr>
        <w:t xml:space="preserve"> </w:t>
      </w:r>
      <w:r w:rsidRPr="00F90EEB">
        <w:rPr>
          <w:rFonts w:eastAsia="Calibri" w:cs="Times New Roman"/>
          <w:szCs w:val="28"/>
        </w:rPr>
        <w:t>направленных на развитие интеллектуальных способностей в процессе перцептивной и познавательной деятельности, а также вовлечение детей с ОВЗ в научно-техническое творчество.</w:t>
      </w:r>
      <w:r w:rsidRPr="00F90EEB">
        <w:rPr>
          <w:rFonts w:eastAsia="Calibri" w:cs="Times New Roman"/>
          <w:szCs w:val="28"/>
          <w:shd w:val="clear" w:color="auto" w:fill="FFFFFF"/>
        </w:rPr>
        <w:t xml:space="preserve"> </w:t>
      </w:r>
      <w:bookmarkStart w:id="1" w:name="_Hlk148675079"/>
      <w:r w:rsidRPr="00F90EEB">
        <w:rPr>
          <w:rFonts w:eastAsia="Calibri" w:cs="Times New Roman"/>
          <w:szCs w:val="28"/>
        </w:rPr>
        <w:t>STEM</w:t>
      </w:r>
      <w:bookmarkEnd w:id="1"/>
      <w:r w:rsidRPr="00F90EEB">
        <w:rPr>
          <w:rFonts w:eastAsia="Calibri" w:cs="Times New Roman"/>
          <w:szCs w:val="28"/>
        </w:rPr>
        <w:t>-образование детей дошкольного возраста ориентируется на ФГОС. Это позволяет сформировать познавательные интересы у детей к разным видам работы. В игровой форме дети учатся считать, измерять, сравнивать, приобретать навыки сенсорной интеграции и общения.</w:t>
      </w:r>
    </w:p>
    <w:p w14:paraId="36C9B8AA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Метод Холдинг-терапии используем для установления контакта и снятия нервного и эмоционального напряжения с детьми со сложной структурой дефекта, в том числе с ТМНР. </w:t>
      </w:r>
    </w:p>
    <w:p w14:paraId="73BE1005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Опыт включения в коррекционную работу элементов холдинг-терапии показал, что методика холдинга в ее традиционном виде «конфронтация — сопротивление — разрешение» недостаточно эффективна при длительном применении. По мере того, как смягчается и уходит сопротивление ребенка, большую часть времени холдинга начинают занимать игры, сказки и песни, среди которых «младенческие» игры: «ладушки», «сорока-ворона», «каравай», «поехали-поехали, в ямку — бух», упрощенный вариант игры в прятки. </w:t>
      </w:r>
    </w:p>
    <w:p w14:paraId="5D798DD8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Ориентируясь на интерес ребенка, мы вспоминаем стихи А. Барто, К. Чуковского, Б. Заходера, сказки, вначале короткие, ритмичные («Колобок», «Теремок», «Репка»), затем — более сложные, с приключениями («Кот, Лиса и Петух», «Заячья избушка», «Три поросенка» и т. п.). </w:t>
      </w:r>
    </w:p>
    <w:p w14:paraId="1B438564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Очень помогают развитию речи песни, которые поют ребенку дома родители (мама с папой, бабушки и дедушки), поэтому мы рекомендуем петь как можно больше, независимо от того, хороший ли у них слух и голос.</w:t>
      </w:r>
    </w:p>
    <w:p w14:paraId="086112B7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В заключение предлагаем несколько правил для работы по формированию личного сенсорного опыта детям с ТМНР:</w:t>
      </w:r>
    </w:p>
    <w:p w14:paraId="0F17B19A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lastRenderedPageBreak/>
        <w:t>-принимать ребёнка таким, какой он есть;</w:t>
      </w:r>
    </w:p>
    <w:p w14:paraId="1B05207D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-взаимодействовать с ребёнком только тогда, когда он готов к этому;</w:t>
      </w:r>
    </w:p>
    <w:p w14:paraId="2EBC1016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-не повышать голос и не издавать громких звуков, говорить в замедленном темпе;</w:t>
      </w:r>
    </w:p>
    <w:p w14:paraId="7FC1EA10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-осваивать ознакомление с предметами и предметную деятельность частями;</w:t>
      </w:r>
    </w:p>
    <w:p w14:paraId="4D3D725B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-чётко организовывать пространство;</w:t>
      </w:r>
    </w:p>
    <w:p w14:paraId="4958E15A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-избегать переутомления;</w:t>
      </w:r>
    </w:p>
    <w:p w14:paraId="71CA20CB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-улавливать изменения в поведении ребёнка, не давать ему уйти в деструктивную деятельность, неадаптивное поведение;</w:t>
      </w:r>
    </w:p>
    <w:p w14:paraId="7259098C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-поощрять ребёнка разными способами.</w:t>
      </w:r>
    </w:p>
    <w:p w14:paraId="5CD03F29" w14:textId="77777777" w:rsidR="00A83A1D" w:rsidRPr="00F90EEB" w:rsidRDefault="00A83A1D" w:rsidP="00A83A1D">
      <w:pPr>
        <w:spacing w:line="276" w:lineRule="auto"/>
        <w:jc w:val="both"/>
        <w:rPr>
          <w:rFonts w:eastAsia="Times New Roman" w:cs="Times New Roman"/>
          <w:szCs w:val="28"/>
          <w:lang w:eastAsia="ru-RU"/>
        </w:rPr>
      </w:pPr>
      <w:r w:rsidRPr="00F90EEB">
        <w:rPr>
          <w:rFonts w:eastAsia="Calibri" w:cs="Times New Roman"/>
          <w:szCs w:val="28"/>
        </w:rPr>
        <w:t>Дети с ТМНР, имеющие среди других нарушений выраженную интеллектуальную недостаточность, определяются как особый контингент, нуждающийся в большем количестве специальной коррекционной помощи во всех областях развития.</w:t>
      </w:r>
      <w:r w:rsidRPr="00F90EEB">
        <w:rPr>
          <w:rFonts w:eastAsia="Times New Roman" w:cs="Times New Roman"/>
          <w:szCs w:val="28"/>
          <w:lang w:eastAsia="ru-RU"/>
        </w:rPr>
        <w:t xml:space="preserve"> </w:t>
      </w:r>
    </w:p>
    <w:p w14:paraId="3C13F91D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Для осуществления полноценного развития и воспитания ребенка - дошкольника с ТМНР необходимо согласование усилий дошкольного учреждения и семьи, в которой он воспитывается. И поэтому мы выбираем политику сотрудничества с семьями воспитанников.                                                                  Родители чаще всего не осознают, что трудности в развитии их ребенка, отклонения в поведении – результат неврологических нарушений, которые ребенок не может контролировать самостоятельно. Кажется, что ребенок поступает неадекватно намеренно. Поэтому в работе с родителями мы придерживаемся метода медико- психолого-педагогического координирования, обеспечивающему качественную диагностику и коррекционное психолого- медико-педагогического сопровождение обучающихся, воспитанников с отклонениями в развитии.</w:t>
      </w:r>
    </w:p>
    <w:p w14:paraId="6548929E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 Сотрудничество с семьей строим по следующим направлениям:</w:t>
      </w:r>
    </w:p>
    <w:p w14:paraId="2C2DA35F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∙ вовлечение семьи в образовательный процесс, организованный дошкольным учреждением;</w:t>
      </w:r>
    </w:p>
    <w:p w14:paraId="6DE14388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∙ повышение психолого-педагогической культуры родителей осуществляется через родительские собрания и конференции, консультации. Оформляем папки -</w:t>
      </w:r>
    </w:p>
    <w:p w14:paraId="75E8B84E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передвижки, выпускаем информационные листы для родителей.</w:t>
      </w:r>
    </w:p>
    <w:p w14:paraId="7BF38AEF" w14:textId="77777777" w:rsidR="00A83A1D" w:rsidRPr="00F90EEB" w:rsidRDefault="00A83A1D" w:rsidP="00A83A1D">
      <w:pPr>
        <w:spacing w:after="0"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∙ обеспечение единства воздействий детского сада и семьи в вопросах всестороннего развития воспитанников.</w:t>
      </w:r>
    </w:p>
    <w:p w14:paraId="4925E3BE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Образовательная, воспитательная и коррекционная деятельность нашего педагогического коллектива основана на научных представлениях о необходимости выделения и дифференциации вариантов образования в </w:t>
      </w:r>
      <w:r w:rsidRPr="00F90EEB">
        <w:rPr>
          <w:rFonts w:eastAsia="Calibri" w:cs="Times New Roman"/>
          <w:szCs w:val="28"/>
        </w:rPr>
        <w:lastRenderedPageBreak/>
        <w:t xml:space="preserve">соответствии с типологическими особенностями развития детей определённой нозологической группы для каждого уровня образования. </w:t>
      </w:r>
    </w:p>
    <w:p w14:paraId="4D9EBFAC" w14:textId="77777777" w:rsidR="00A83A1D" w:rsidRPr="00F90EEB" w:rsidRDefault="00A83A1D" w:rsidP="00A83A1D">
      <w:pPr>
        <w:spacing w:line="276" w:lineRule="auto"/>
        <w:jc w:val="both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>Только это позволяет при разной степени неблагополучия обеспечивать продуктивное обучение в зоне ближайшего развития и требуемый ребёнку баланс академической и жизненной компетенции, его социализацию и интеграцию в общество.</w:t>
      </w:r>
    </w:p>
    <w:p w14:paraId="5E2C068B" w14:textId="77777777" w:rsidR="00A83A1D" w:rsidRPr="00F90EEB" w:rsidRDefault="00A83A1D" w:rsidP="00A83A1D">
      <w:pPr>
        <w:spacing w:after="0" w:line="276" w:lineRule="auto"/>
        <w:rPr>
          <w:rFonts w:eastAsia="Calibri" w:cs="Times New Roman"/>
          <w:szCs w:val="28"/>
        </w:rPr>
      </w:pPr>
    </w:p>
    <w:p w14:paraId="5A03F343" w14:textId="77777777" w:rsidR="00A83A1D" w:rsidRPr="00F90EEB" w:rsidRDefault="00A83A1D" w:rsidP="00A83A1D">
      <w:pPr>
        <w:spacing w:after="0" w:line="276" w:lineRule="auto"/>
        <w:rPr>
          <w:rFonts w:eastAsia="Calibri" w:cs="Times New Roman"/>
          <w:szCs w:val="28"/>
        </w:rPr>
      </w:pPr>
    </w:p>
    <w:p w14:paraId="064260DE" w14:textId="77777777" w:rsidR="00A83A1D" w:rsidRPr="00F90EEB" w:rsidRDefault="00A83A1D" w:rsidP="00A83A1D">
      <w:pPr>
        <w:spacing w:after="0" w:line="276" w:lineRule="auto"/>
        <w:jc w:val="center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Список литературы и </w:t>
      </w:r>
      <w:proofErr w:type="gramStart"/>
      <w:r w:rsidRPr="00F90EEB">
        <w:rPr>
          <w:rFonts w:eastAsia="Calibri" w:cs="Times New Roman"/>
          <w:szCs w:val="28"/>
        </w:rPr>
        <w:t>интернет ресурсов</w:t>
      </w:r>
      <w:proofErr w:type="gramEnd"/>
    </w:p>
    <w:p w14:paraId="3B8AE3F7" w14:textId="77777777" w:rsidR="00A83A1D" w:rsidRPr="00F90EEB" w:rsidRDefault="00A83A1D" w:rsidP="00A83A1D">
      <w:pPr>
        <w:spacing w:after="0" w:line="276" w:lineRule="auto"/>
        <w:rPr>
          <w:rFonts w:eastAsia="Calibri" w:cs="Times New Roman"/>
          <w:szCs w:val="28"/>
        </w:rPr>
      </w:pPr>
    </w:p>
    <w:p w14:paraId="5A5840DD" w14:textId="77777777" w:rsidR="00A83A1D" w:rsidRPr="00F90EEB" w:rsidRDefault="00A83A1D" w:rsidP="00A83A1D">
      <w:pPr>
        <w:spacing w:after="0" w:line="276" w:lineRule="auto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1. Айрес Э. Дж. Ребенок и сенсорная интеграция. Понимание скрытых проблем развития; М.: </w:t>
      </w:r>
      <w:proofErr w:type="spellStart"/>
      <w:r w:rsidRPr="00F90EEB">
        <w:rPr>
          <w:rFonts w:eastAsia="Calibri" w:cs="Times New Roman"/>
          <w:szCs w:val="28"/>
        </w:rPr>
        <w:t>Теревинф</w:t>
      </w:r>
      <w:proofErr w:type="spellEnd"/>
      <w:r w:rsidRPr="00F90EEB">
        <w:rPr>
          <w:rFonts w:eastAsia="Calibri" w:cs="Times New Roman"/>
          <w:szCs w:val="28"/>
        </w:rPr>
        <w:t>, 2009.</w:t>
      </w:r>
    </w:p>
    <w:p w14:paraId="06BD38BA" w14:textId="77777777" w:rsidR="00A83A1D" w:rsidRPr="00F90EEB" w:rsidRDefault="00A83A1D" w:rsidP="00A83A1D">
      <w:pPr>
        <w:spacing w:after="0" w:line="276" w:lineRule="auto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2. </w:t>
      </w:r>
      <w:proofErr w:type="spellStart"/>
      <w:r w:rsidRPr="00F90EEB">
        <w:rPr>
          <w:rFonts w:eastAsia="Calibri" w:cs="Times New Roman"/>
          <w:szCs w:val="28"/>
        </w:rPr>
        <w:t>Басилова</w:t>
      </w:r>
      <w:proofErr w:type="spellEnd"/>
      <w:r w:rsidRPr="00F90EEB">
        <w:rPr>
          <w:rFonts w:eastAsia="Calibri" w:cs="Times New Roman"/>
          <w:szCs w:val="28"/>
        </w:rPr>
        <w:t xml:space="preserve"> Т. А., Александрова Н. А. Как помочь малышу со сложным нарушением в развитии; Пособие для родителей, М.: Просвещение, 2008.</w:t>
      </w:r>
    </w:p>
    <w:p w14:paraId="2435F444" w14:textId="77777777" w:rsidR="00A83A1D" w:rsidRPr="00F90EEB" w:rsidRDefault="00A83A1D" w:rsidP="00A83A1D">
      <w:pPr>
        <w:spacing w:after="0" w:line="276" w:lineRule="auto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3. </w:t>
      </w:r>
      <w:proofErr w:type="spellStart"/>
      <w:r w:rsidRPr="00F90EEB">
        <w:rPr>
          <w:rFonts w:eastAsia="Calibri" w:cs="Times New Roman"/>
          <w:szCs w:val="28"/>
        </w:rPr>
        <w:t>Кислинг</w:t>
      </w:r>
      <w:proofErr w:type="spellEnd"/>
      <w:r w:rsidRPr="00F90EEB">
        <w:rPr>
          <w:rFonts w:eastAsia="Calibri" w:cs="Times New Roman"/>
          <w:szCs w:val="28"/>
        </w:rPr>
        <w:t xml:space="preserve"> </w:t>
      </w:r>
      <w:proofErr w:type="spellStart"/>
      <w:r w:rsidRPr="00F90EEB">
        <w:rPr>
          <w:rFonts w:eastAsia="Calibri" w:cs="Times New Roman"/>
          <w:szCs w:val="28"/>
        </w:rPr>
        <w:t>Улла.Сенсорная</w:t>
      </w:r>
      <w:proofErr w:type="spellEnd"/>
      <w:r w:rsidRPr="00F90EEB">
        <w:rPr>
          <w:rFonts w:eastAsia="Calibri" w:cs="Times New Roman"/>
          <w:szCs w:val="28"/>
        </w:rPr>
        <w:t xml:space="preserve"> интеграция в диалоге: понять ребенка, распознать проблему, помочь обрести равновесие /Улла </w:t>
      </w:r>
      <w:proofErr w:type="spellStart"/>
      <w:r w:rsidRPr="00F90EEB">
        <w:rPr>
          <w:rFonts w:eastAsia="Calibri" w:cs="Times New Roman"/>
          <w:szCs w:val="28"/>
        </w:rPr>
        <w:t>Кислинг</w:t>
      </w:r>
      <w:proofErr w:type="spellEnd"/>
      <w:r w:rsidRPr="00F90EEB">
        <w:rPr>
          <w:rFonts w:eastAsia="Calibri" w:cs="Times New Roman"/>
          <w:szCs w:val="28"/>
        </w:rPr>
        <w:t xml:space="preserve">; под ред. Е. В. Клочковой; М.: </w:t>
      </w:r>
      <w:proofErr w:type="spellStart"/>
      <w:r w:rsidRPr="00F90EEB">
        <w:rPr>
          <w:rFonts w:eastAsia="Calibri" w:cs="Times New Roman"/>
          <w:szCs w:val="28"/>
        </w:rPr>
        <w:t>Теревинф</w:t>
      </w:r>
      <w:proofErr w:type="spellEnd"/>
      <w:r w:rsidRPr="00F90EEB">
        <w:rPr>
          <w:rFonts w:eastAsia="Calibri" w:cs="Times New Roman"/>
          <w:szCs w:val="28"/>
        </w:rPr>
        <w:t>, 2010.</w:t>
      </w:r>
    </w:p>
    <w:p w14:paraId="44E88D20" w14:textId="77777777" w:rsidR="00A83A1D" w:rsidRPr="00F90EEB" w:rsidRDefault="00A83A1D" w:rsidP="00A83A1D">
      <w:pPr>
        <w:spacing w:after="0" w:line="276" w:lineRule="auto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4. </w:t>
      </w:r>
      <w:proofErr w:type="spellStart"/>
      <w:r w:rsidRPr="00F90EEB">
        <w:rPr>
          <w:rFonts w:eastAsia="Calibri" w:cs="Times New Roman"/>
          <w:szCs w:val="28"/>
        </w:rPr>
        <w:t>Миненкова</w:t>
      </w:r>
      <w:proofErr w:type="spellEnd"/>
      <w:r w:rsidRPr="00F90EEB">
        <w:rPr>
          <w:rFonts w:eastAsia="Calibri" w:cs="Times New Roman"/>
          <w:szCs w:val="28"/>
        </w:rPr>
        <w:t xml:space="preserve">, И.Н. Обеспечение сенсорной интеграции в коррекционно- развивающей работе с детьми с тяжёлыми и или множественными нарушениями психофизического развития И.Н. </w:t>
      </w:r>
      <w:proofErr w:type="spellStart"/>
      <w:r w:rsidRPr="00F90EEB">
        <w:rPr>
          <w:rFonts w:eastAsia="Calibri" w:cs="Times New Roman"/>
          <w:szCs w:val="28"/>
        </w:rPr>
        <w:t>Миненкова</w:t>
      </w:r>
      <w:proofErr w:type="spellEnd"/>
      <w:r w:rsidRPr="00F90EEB">
        <w:rPr>
          <w:rFonts w:eastAsia="Calibri" w:cs="Times New Roman"/>
          <w:szCs w:val="28"/>
        </w:rPr>
        <w:t xml:space="preserve"> Обучение и воспитание детей в условиях центра коррекционно-развивающего обучения и реабилитации: </w:t>
      </w:r>
      <w:proofErr w:type="gramStart"/>
      <w:r w:rsidRPr="00F90EEB">
        <w:rPr>
          <w:rFonts w:eastAsia="Calibri" w:cs="Times New Roman"/>
          <w:szCs w:val="28"/>
        </w:rPr>
        <w:t>учеб.-</w:t>
      </w:r>
      <w:proofErr w:type="gramEnd"/>
      <w:r w:rsidRPr="00F90EEB">
        <w:rPr>
          <w:rFonts w:eastAsia="Calibri" w:cs="Times New Roman"/>
          <w:szCs w:val="28"/>
        </w:rPr>
        <w:t xml:space="preserve"> метод. пособие С.Е. Гайдукевич и др.; науч. ред. С.Е. Гайдукевич. — </w:t>
      </w:r>
      <w:proofErr w:type="spellStart"/>
      <w:r w:rsidRPr="00F90EEB">
        <w:rPr>
          <w:rFonts w:eastAsia="Calibri" w:cs="Times New Roman"/>
          <w:szCs w:val="28"/>
        </w:rPr>
        <w:t>Мн</w:t>
      </w:r>
      <w:proofErr w:type="spellEnd"/>
      <w:r w:rsidRPr="00F90EEB">
        <w:rPr>
          <w:rFonts w:eastAsia="Calibri" w:cs="Times New Roman"/>
          <w:szCs w:val="28"/>
        </w:rPr>
        <w:t>: УО БГПУ им. М. Танка, 2007. — С. 86-92.</w:t>
      </w:r>
    </w:p>
    <w:p w14:paraId="287AD5D9" w14:textId="77777777" w:rsidR="00A83A1D" w:rsidRPr="00F90EEB" w:rsidRDefault="00A83A1D" w:rsidP="00A83A1D">
      <w:pPr>
        <w:spacing w:after="0" w:line="276" w:lineRule="auto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5. </w:t>
      </w:r>
      <w:proofErr w:type="spellStart"/>
      <w:r w:rsidRPr="00F90EEB">
        <w:rPr>
          <w:rFonts w:eastAsia="Calibri" w:cs="Times New Roman"/>
          <w:szCs w:val="28"/>
        </w:rPr>
        <w:t>Ростомашвили</w:t>
      </w:r>
      <w:proofErr w:type="spellEnd"/>
      <w:r w:rsidRPr="00F90EEB">
        <w:rPr>
          <w:rFonts w:eastAsia="Calibri" w:cs="Times New Roman"/>
          <w:szCs w:val="28"/>
        </w:rPr>
        <w:t xml:space="preserve"> Л. Н. Адаптивное физическое воспитание детей со сложными нарушениями развития. Учебное пособие /Л. Н. </w:t>
      </w:r>
      <w:proofErr w:type="spellStart"/>
      <w:r w:rsidRPr="00F90EEB">
        <w:rPr>
          <w:rFonts w:eastAsia="Calibri" w:cs="Times New Roman"/>
          <w:szCs w:val="28"/>
        </w:rPr>
        <w:t>Ростомашвили</w:t>
      </w:r>
      <w:proofErr w:type="spellEnd"/>
      <w:r w:rsidRPr="00F90EEB">
        <w:rPr>
          <w:rFonts w:eastAsia="Calibri" w:cs="Times New Roman"/>
          <w:szCs w:val="28"/>
        </w:rPr>
        <w:t>. - М.: Советский спорт, 2009.</w:t>
      </w:r>
    </w:p>
    <w:p w14:paraId="0B6ABBC7" w14:textId="77777777" w:rsidR="00A83A1D" w:rsidRPr="00F90EEB" w:rsidRDefault="00A83A1D" w:rsidP="00A83A1D">
      <w:pPr>
        <w:spacing w:after="0" w:line="276" w:lineRule="auto"/>
        <w:rPr>
          <w:rFonts w:eastAsia="Calibri" w:cs="Times New Roman"/>
          <w:szCs w:val="28"/>
        </w:rPr>
      </w:pPr>
      <w:r w:rsidRPr="00F90EEB">
        <w:rPr>
          <w:rFonts w:eastAsia="Calibri" w:cs="Times New Roman"/>
          <w:szCs w:val="28"/>
        </w:rPr>
        <w:t xml:space="preserve">6. </w:t>
      </w:r>
      <w:proofErr w:type="spellStart"/>
      <w:r w:rsidRPr="00F90EEB">
        <w:rPr>
          <w:rFonts w:eastAsia="Calibri" w:cs="Times New Roman"/>
          <w:szCs w:val="28"/>
        </w:rPr>
        <w:t>Эллнеби</w:t>
      </w:r>
      <w:proofErr w:type="spellEnd"/>
      <w:r w:rsidRPr="00F90EEB">
        <w:rPr>
          <w:rFonts w:eastAsia="Calibri" w:cs="Times New Roman"/>
          <w:szCs w:val="28"/>
        </w:rPr>
        <w:t xml:space="preserve">, И. Право детей на развитие И. </w:t>
      </w:r>
      <w:proofErr w:type="spellStart"/>
      <w:r w:rsidRPr="00F90EEB">
        <w:rPr>
          <w:rFonts w:eastAsia="Calibri" w:cs="Times New Roman"/>
          <w:szCs w:val="28"/>
        </w:rPr>
        <w:t>Эллнеби</w:t>
      </w:r>
      <w:proofErr w:type="spellEnd"/>
      <w:r w:rsidRPr="00F90EEB">
        <w:rPr>
          <w:rFonts w:eastAsia="Calibri" w:cs="Times New Roman"/>
          <w:szCs w:val="28"/>
        </w:rPr>
        <w:t xml:space="preserve">. — Мн.: </w:t>
      </w:r>
      <w:proofErr w:type="spellStart"/>
      <w:r w:rsidRPr="00F90EEB">
        <w:rPr>
          <w:rFonts w:eastAsia="Calibri" w:cs="Times New Roman"/>
          <w:szCs w:val="28"/>
        </w:rPr>
        <w:t>БелАПДИ</w:t>
      </w:r>
      <w:proofErr w:type="spellEnd"/>
      <w:r w:rsidRPr="00F90EEB">
        <w:rPr>
          <w:rFonts w:eastAsia="Calibri" w:cs="Times New Roman"/>
          <w:szCs w:val="28"/>
        </w:rPr>
        <w:t xml:space="preserve"> — Открытые двери, 1997. — 131 с.</w:t>
      </w:r>
    </w:p>
    <w:p w14:paraId="303EE65B" w14:textId="77777777" w:rsidR="00A83A1D" w:rsidRDefault="00A83A1D" w:rsidP="006C0B77">
      <w:pPr>
        <w:spacing w:after="0"/>
        <w:ind w:firstLine="709"/>
        <w:jc w:val="both"/>
      </w:pPr>
    </w:p>
    <w:sectPr w:rsidR="00A83A1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844"/>
    <w:rsid w:val="001D0844"/>
    <w:rsid w:val="00562305"/>
    <w:rsid w:val="0062384F"/>
    <w:rsid w:val="006C0B77"/>
    <w:rsid w:val="008242FF"/>
    <w:rsid w:val="00870751"/>
    <w:rsid w:val="00922C48"/>
    <w:rsid w:val="00A83A1D"/>
    <w:rsid w:val="00B915B7"/>
    <w:rsid w:val="00CA49D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9D3B1"/>
  <w15:chartTrackingRefBased/>
  <w15:docId w15:val="{C4C5B203-0FD7-4BC4-983F-F695232F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D08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08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084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08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08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084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084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084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084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0844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1D084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1D0844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1D0844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1D0844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1D0844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1D0844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1D0844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1D0844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1D08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D084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1D084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D0844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1D08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D0844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1D084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D084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D08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D0844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1D08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3154</Words>
  <Characters>17979</Characters>
  <Application>Microsoft Office Word</Application>
  <DocSecurity>0</DocSecurity>
  <Lines>149</Lines>
  <Paragraphs>42</Paragraphs>
  <ScaleCrop>false</ScaleCrop>
  <Company/>
  <LinksUpToDate>false</LinksUpToDate>
  <CharactersWithSpaces>21091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79219140711</dc:creator>
  <cp:keywords/>
  <dc:description/>
  <cp:lastModifiedBy>79219140711</cp:lastModifiedBy>
  <cp:revision>3</cp:revision>
  <dcterms:created xsi:type="dcterms:W3CDTF">2025-10-01T18:03:00Z</dcterms:created>
  <dcterms:modified xsi:type="dcterms:W3CDTF">2025-10-01T18:09:00Z</dcterms:modified>
</cp:coreProperties>
</file>