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F" w:rsidRPr="00242FEF" w:rsidRDefault="00242FEF" w:rsidP="00242FEF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Применение технологии ТРИЗ на уроках в начальной школе как развития мыслительной деятельности учащихся.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Pr="00242FEF">
        <w:rPr>
          <w:rFonts w:ascii="inherit" w:eastAsia="Times New Roman" w:hAnsi="inherit" w:cs="Arial"/>
          <w:b/>
          <w:color w:val="666666"/>
          <w:sz w:val="24"/>
          <w:szCs w:val="24"/>
          <w:bdr w:val="none" w:sz="0" w:space="0" w:color="auto" w:frame="1"/>
          <w:lang w:eastAsia="ru-RU"/>
        </w:rPr>
        <w:t>Учитель начальных классов: Журавлёва М.В.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В начальных классах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постоянно приходится ориентироваться в потоке разнообразной информации. Объем учебного материала, необходимый для получения знаний предполагает наличие высокого уровня развития познавательных процессов младшего школьника. Поэтому, одной из важнейших задач учителей начальны</w:t>
      </w:r>
      <w:bookmarkStart w:id="0" w:name="_GoBack"/>
      <w:bookmarkEnd w:id="0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х классов является создание таких условий обучения, при которых ребенок получает возможность научиться самостоятельно, критически и творчески мыслить.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Мыслительный процесс начинается тогда, когда возникает задача или проблема, у которой нет готового способа решения. Если есть стремление что-то понять, в чём-то разобраться, то здесь тоже речь идёт о мышлении. По нашему мнению, развитие мыслительной деятельности младших школьников – это актуальная проблема, которую необходимо решать. Именно благодаря способности человека мыслить решаются трудные задачи, делаются открытия, появляются изобретения. Развивать мышление – значит развивать умение думать.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На уроках я часто использую  технологию ТРИЗ. Теория решения изобретательских задач (ТРИЗ) является инструментом по практическому воспитанию у детей каче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ств тв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орческой личности, способной понимать единство и противоречие окружающего мира, решать творческие задачи.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Основателем ТРИЗ является Генрих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Саулович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Альтшуллер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. Технология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Альтшуллера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в течение многих лет использовалась в работе с детьми на станциях юных техников. В настоящее время приемы и методы технической ТРИЗ с успехом используются в детских садах и школах для развития у детей изобретательской смекалки, творческого воображения, диалектического мышления.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Технология решения изобретательских задач (ТРИЗ) позволяет снять психологический барьер, убрать боязнь перед новым, неизвестным, сформировать восприятие жизненных и учебных проблем не как неопределённых препятствий, а как очередных задач, которые надо решить.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Использование ТРИЗ помогает детям:</w:t>
      </w:r>
    </w:p>
    <w:p w:rsidR="00242FEF" w:rsidRPr="00242FEF" w:rsidRDefault="00242FEF" w:rsidP="00242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развивать речь, внимание, логическое мышление, память;</w:t>
      </w:r>
    </w:p>
    <w:p w:rsidR="00242FEF" w:rsidRPr="00242FEF" w:rsidRDefault="00242FEF" w:rsidP="00242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активизировать творческую познавательную деятельность;</w:t>
      </w:r>
    </w:p>
    <w:p w:rsidR="00242FEF" w:rsidRPr="00242FEF" w:rsidRDefault="00242FEF" w:rsidP="00242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вызывать интерес к учебному процессу;</w:t>
      </w:r>
    </w:p>
    <w:p w:rsidR="00242FEF" w:rsidRPr="00242FEF" w:rsidRDefault="00242FEF" w:rsidP="00242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воспитывать умение общаться в группах, в парах;</w:t>
      </w:r>
    </w:p>
    <w:p w:rsidR="00242FEF" w:rsidRPr="00242FEF" w:rsidRDefault="00242FEF" w:rsidP="00242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находчивости, сообразительности, умению преодолевать трудности;</w:t>
      </w:r>
    </w:p>
    <w:p w:rsidR="00242FEF" w:rsidRPr="00242FEF" w:rsidRDefault="00242FEF" w:rsidP="00242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развивать креативность через использование приёмов ТРИЗ и РКМ.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Привлекательность ТРИЗ, заключается в том, что в ней практически отсутствуют готовые варианты поиска решения, а основное внимание уделено на осознание операций мышления.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Изучив весь набор тренингов, представленный в электронной книге «Мастерская знаний», я выбрала для себя несколько игр, которые, на мой  взгляд, подходят для решения указанных задач. Планируя уроки, я выбирала подходящую игру и подбирала к ней учебный материал. Ниже описаны наиболее популярные игры в нашем классе и примеры их применения на уроках.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Игра «Да – Нет» (Окружающий мир, 3 класс).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Перед учениками «лента времени», на которой расположены исторические события от 988г. до 1991г, о которых мы говорили в течение года. Вам надо за минимальное количество вопросов отгадать задуманное мною историческое событие (например, Куликовская битва)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Классификационная</w:t>
      </w:r>
      <w:proofErr w:type="gramEnd"/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«Да-Нет» (Русский язык, 1 класс).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 записали словарные слова: пенал, класс, русский, машина, Москва, Россия, язык.</w:t>
      </w:r>
      <w:proofErr w:type="gramEnd"/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Учитель: Я загадала одно из этих слов. Вы можете задавать любые вопросы, на которые я могу ответить «Да» или «Нет».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Дети: Это слово называет предмет?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Учитель: Да.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Дети: Это слов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имя собственное?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Учитель: Нет.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Дети: В этом слове два слога? И т.д.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Игра «Мои друзья».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     Каждый ребёнок получает один или несколько объектов из изучаемой группы (например, объекты из копилки слов, собранных по определенному признаку),  учитель называет, по какому признаку он собирает друзей. Дети, в чьих объектах есть указанный признак, подбегают учителю со своими карточками, все остальные дети выступают в роли контролёров. В процессе игры дети учатся определять объект по наличию у него заданного значения признака, проверять, что объект обладает заданным значением признака.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Математика, 1 класс.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 детей на столах карточки с выражениями (10 – 7, 3 + 4, 6 + 1, 9 – 6 и т.д.)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у кого сумма равна 7.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у кого разность равна 3.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у кого 1 слагаемое больше 2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у кого разность больше 5 и т.д.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Русский язык, 1 класс.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 работают в парах. Придумывают и записывают слова на листах по заданию учителя, потом проводится проверка.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слова которых начинаются с мягкого звука р.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слова которых начинаются с твёрдого звука р.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— Мои друзья те ребята, в словах которых два слога.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в словах которых ударение падает на первый слог.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Мои друзья те ребята, в словах которых есть непарный мягкий согласный и т.д.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Игра «Теремок» (автор игры – </w:t>
      </w:r>
      <w:proofErr w:type="spellStart"/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Мурашковска</w:t>
      </w:r>
      <w:proofErr w:type="spellEnd"/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И.Н.).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      Каждый ребёнок играет роль какого-либо объекта. По очереди дети заселяют теремок. Нового «героя» в  теремок пускают только в том случае, если он указал, чем похож на последнего, вошедшего в теремок «героя». Нельзя повторять ранее названные признаки. В процессе игры дети учатся сравнивать объекты. У детей накапливается информация о признаках объектов в конкретных областях знаний.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Русский язык, 2 класс.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Учитель: Стоит в поле теремок, он не низок, не высок. И живёт в теремке слово «кричать». На доске слова: крик,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крикливый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, мычать, жить, бегун.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Ученик стучится в теремок, называя любую запись, которая есть на доске, и говорит, чем они похожи с объектами из теремка. После этого заселяется в дом.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Дети: Я слово «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крикливый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», пусти меня к себе жить.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Учитель: А чем ты на меня похоже?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Дети: Я твой родственник, у меня такой же корень, как у тебя. И т.д.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Игра «Цепочка».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      Дети становятся в круг. Учитель бросает мяч и называет любое слово (существительное). Ученик возвращает мяч или передает мяч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другому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, называя признак или действие данного объекта (прилагательное). Следующий придумывает другой объект, обладающий таким же признаком или действием, и бросает мяч следующему ученику. И т.д.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Пример: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Облако — белое – вата – мягкая – трава – гладкая – бумага – лёгкая – задача – длинная – верёвка – мокрая – земля – грязная – одежда – дорогая – ваза – стеклянная.</w:t>
      </w:r>
      <w:proofErr w:type="gramEnd"/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    Описанные игры  – лишь пример того, как можно на основе некоторых приемов ТРИЗ-технологии  использовать стандартный учебный материал для формирования нестандартного творческого мышления, обучения приёмам прикладной диалектики.  Кроме того, элементы этих приёмов можно использовать на уроках литературного чтения, музыки, русского языка, рисования и т. д. Такой подход к обучению повышает интерес ученика, его самосознание, формирует творческие способности, уверенность в себе и в своих силах.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Уроки с использованием приёмов и методик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Триз-технологии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несут в себе большой воспитательный потенциал, так как ведётся анализ любой ситуации, учёт противоречий, поиск оптимального решения.</w:t>
      </w: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Методики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Триз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— идеальный инструментарий для проблемного, развивающего обучения. Они увлекательны и результативны. Умения и навыки не передаются от учителя к детям, а формируются в результате самостоятельной работы детей с информацией. Хочется 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отметить их универсальность. Эти приёмы можно использовать практически на всех этапах работы на уроке при разборе любого литературного произведения. Рассмотрим некоторые примеры приемов, которые успешно используются в моей педагогической практике на уроках литературного чтения. Курс литературного чтения является фундаментом для дальнейшего образования учащихся, а уроки литературного чтения являются ключевыми в формировании читательской компетентности.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Уже в букварный период идет активная работа над развитием речи и обогащением словарного запаса детей. С первым литературным жанром с которым знакомятся дет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это сказки. Русских народные и авторские сказок, многие из которых детям уже известны. И одним из первых приёмов методики-ТРИЗ является работа со сказками. Например</w:t>
      </w: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, приемы фантазирования в работе со сказками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«Свойства наоборот»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героям знакомой сказки приписываются прямо противоположные свойства (волк из «Красной шапочки» стал маленьким и добрым,  «Золушка – непослушная девчонка, а мачеха – добрая»);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«Задом наперёд»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— попробовать рассказать сказку не с начала, а с конца;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«Из моей жизни»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сочинение сказки о себе («Один день из моей жизни» — обычная история становится сказочной, если взрослые и дети «меняются»  обязанностями, поступками и мыслями);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Приём « Паспорт литературного героя»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очень помогает оживить урок. Детям нравится выполнять эту работу. Ученики начальной школы любят фантазировать, и потому часто на уроках мы изображаем героев произведений, и наделяем характеристиками, указываем их «Адрес проживания» и составляем «Паспорт».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Вот какой паспорт у нас получила Ворона из басни «Ворона и Лисица».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Имя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– Ворона.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Создатель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– А.И. Крылов.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Прописка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– басня « Ворона и Лисица».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Внешний вид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чё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рная, имеет крылья, большой клюв.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Где встречается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— в лесу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Личные </w:t>
      </w:r>
      <w:proofErr w:type="gramStart"/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качества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-доверчивая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. 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Заветное желание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– поесть.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Если в произведении встречаются несколько главных персонажей, тогда можно работать группами и составить разные паспорта. После выполнения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работы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тут же детям предлагается ответить на вопрос –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какую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черту характера данного героя ты бы хотел иметь (не иметь) у себя и почему? Такой вопрос побуждает детей понимать, каким должен быть (не должен быть) человек. При использовании этого приёма развиваются коммуникативные способности детей и их личностные качества.</w:t>
      </w: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Приём</w:t>
      </w: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spellStart"/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Раскадровка</w:t>
      </w:r>
      <w:proofErr w:type="spellEnd"/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используется при составлении плана к художественному произведению и помогает учащимся понять логику сюжета.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Вариант 1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: Готовые кадры перепутаны по последовательности или часть пропущена. Учащиеся восстанавливают пропущенные кадры и дорисовывают их: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— Перед вами кадры сказки «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Репка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 Какой эпизод пропустил художник. Расскажите о нём. Дорисуйте недостающий кадр.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Слайд № 11</w:t>
      </w: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Вариант 2: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 При чтении сказки или рассказа дети карандашом или фломастером рисуют «мультик» – схематичное изображение событий, происходящих в сказке или рассказе. Таким образом, на основе обобщённого восприятия, дети могут увидеть и понять логику сюжета. Перечисляя события, изображённые в «мультике», дети усваивают план пересказа. Позднее можно предложить назвать каждый кадр одним предложением. Это уже будет план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произведения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содержанию текста рисуются кадры («мультфильм»), то есть это схематичное изображение событий, изменение места действия, изменение ситуации для героя.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Слайд № 12 Приём «Если бы…»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Дети составляют цепочку событий по произведению, устанавливая причинн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следственные связи использую слова если бы… то и рассмотрим этот приём на примере сказки М. Гаршина</w:t>
      </w: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« Лягушка – путешественница» в виде цепочки событий. </w:t>
      </w: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бы…, то…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Д. </w:t>
      </w: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уткам не надо было покушать, то они не спустились бы в болото.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они не спустились в болото, то лягушка не заинтересовалась бы, куда они летят.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лягушка не была такой любопытной, то она не высунула бы из-под коряги свою голову.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лягушка не была такой смелой, то она не вступила бы в разговор с утками.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лягушка не была такой толстой, то утки непременно бы её съели.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утки не рассказали лягушке о юге, то она не пришла бы в такой восторг, и не захотела бы туда отправиться.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лягушка не была хвастлива, то она долетела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бы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вероятно до юга.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Если бы </w:t>
      </w: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лягушка не упала в болото, то она не смогла бы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Широкое применение технологии ТРИЗ и РКМ на уроках в начальных классах дают положительные результаты. Дети становятся более раскрепощенными, вдумчивыми, не боятся высказывать и отстаивать собственное мнение. Они учатся рассуждать, доказывать, предлагать оригинальные идеи. У ребят закладываются умения совместной работы в группах. Проявляется чувство ответственности каждого за конечный результат. Активно раскрываются творческие способности. У ребёнка происходит формирование инициативной позиции, улучшается самооценка и самоуважение. Все выше перечисленное воспитывает успешных, активных, творчески мыслящих людей, затребованных современным обществом.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Заключение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Использование технологии ТРИЗ позволило достичь  следующих результатов: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Изменить отношение детей к урокам чтения, русского языка, окружающего мира.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Повысить познавательное отношение к </w:t>
      </w:r>
      <w:proofErr w:type="gram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прочитанному</w:t>
      </w:r>
      <w:proofErr w:type="gram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(учащиеся учатся показывать свое исследовательское отношение, желание глубже вникать в суть произведения).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Развить положительное отношение к заданиям творческого и проблемно-поискового характера.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Изменить у учащихся отношение к собственным ошибкам и затруднениям, возникающим в ходе работы (они стали восприниматься ими более спокойно, возросло умение преодолевать трудности, доводить начатую работу до конца).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Мотивировать учащихся к дальнейшей деятельности (они учатся рефлексировать свою деятельность и развивают коммуникативную культуру).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Создать атмосферу доверия, сотрудничества в системе «учитель-ученик-класс», выработать осознанное отношение к индивидуальной, групповой и коллективной деятельности.</w:t>
      </w:r>
    </w:p>
    <w:p w:rsidR="00242FEF" w:rsidRPr="00242FEF" w:rsidRDefault="00242FEF" w:rsidP="00242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Повысить мыслительную деятельность учащихся начальной школы.</w:t>
      </w:r>
    </w:p>
    <w:p w:rsidR="00242FEF" w:rsidRPr="00242FEF" w:rsidRDefault="00242FEF" w:rsidP="00242F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                            Список использованной литературы</w:t>
      </w:r>
    </w:p>
    <w:p w:rsidR="00242FEF" w:rsidRPr="00242FEF" w:rsidRDefault="00242FEF" w:rsidP="00242FE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1.Гин С. Использование опыта ТРИЗ-педагогики в процессе формирования креативности младших школьников.</w:t>
      </w:r>
    </w:p>
    <w:p w:rsidR="00242FEF" w:rsidRPr="00242FEF" w:rsidRDefault="00242FEF" w:rsidP="00242F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И.Н. 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Мурашковска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«Картинка без запинки» </w:t>
      </w:r>
      <w:hyperlink r:id="rId5" w:history="1">
        <w:r w:rsidRPr="00242FEF">
          <w:rPr>
            <w:rFonts w:ascii="inherit" w:eastAsia="Times New Roman" w:hAnsi="inherit" w:cs="Arial"/>
            <w:color w:val="0FBE7C"/>
            <w:sz w:val="24"/>
            <w:szCs w:val="24"/>
            <w:bdr w:val="none" w:sz="0" w:space="0" w:color="auto" w:frame="1"/>
            <w:lang w:eastAsia="ru-RU"/>
          </w:rPr>
          <w:t>http://www.trizminsk.org/e/2312.htm</w:t>
        </w:r>
      </w:hyperlink>
    </w:p>
    <w:p w:rsidR="00242FEF" w:rsidRPr="00242FEF" w:rsidRDefault="00242FEF" w:rsidP="00242F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И.Н. 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Мурашковска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«Игры для занятия ТРИЗ с детьми младшего возраста»</w:t>
      </w:r>
      <w:hyperlink r:id="rId6" w:history="1">
        <w:r w:rsidRPr="00242FEF">
          <w:rPr>
            <w:rFonts w:ascii="inherit" w:eastAsia="Times New Roman" w:hAnsi="inherit" w:cs="Arial"/>
            <w:color w:val="0FBE7C"/>
            <w:sz w:val="24"/>
            <w:szCs w:val="24"/>
            <w:bdr w:val="none" w:sz="0" w:space="0" w:color="auto" w:frame="1"/>
            <w:lang w:eastAsia="ru-RU"/>
          </w:rPr>
          <w:t>http://www.trizminsk.org/e/23206.htm</w:t>
        </w:r>
      </w:hyperlink>
    </w:p>
    <w:p w:rsidR="00242FEF" w:rsidRPr="00242FEF" w:rsidRDefault="00242FEF" w:rsidP="00242F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И.Н. 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Мурашковска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«Камо </w:t>
      </w:r>
      <w:proofErr w:type="spellStart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грядеши</w:t>
      </w:r>
      <w:proofErr w:type="spellEnd"/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. ТРИЗ – педагогика» </w:t>
      </w:r>
      <w:hyperlink r:id="rId7" w:history="1">
        <w:r w:rsidRPr="00242FEF">
          <w:rPr>
            <w:rFonts w:ascii="inherit" w:eastAsia="Times New Roman" w:hAnsi="inherit" w:cs="Arial"/>
            <w:color w:val="0FBE7C"/>
            <w:sz w:val="24"/>
            <w:szCs w:val="24"/>
            <w:bdr w:val="none" w:sz="0" w:space="0" w:color="auto" w:frame="1"/>
            <w:lang w:eastAsia="ru-RU"/>
          </w:rPr>
          <w:t>http://www.trizminsk.org/r/tt/000101.htm</w:t>
        </w:r>
      </w:hyperlink>
    </w:p>
    <w:p w:rsidR="00242FEF" w:rsidRPr="00242FEF" w:rsidRDefault="00242FEF" w:rsidP="00242F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42FEF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А.А. Нестеренко «Мастерская знаний» (электронная книга)</w:t>
      </w:r>
    </w:p>
    <w:p w:rsidR="00CC5128" w:rsidRDefault="00CC5128"/>
    <w:sectPr w:rsidR="00CC5128" w:rsidSect="008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0BB"/>
    <w:multiLevelType w:val="multilevel"/>
    <w:tmpl w:val="7352B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566E"/>
    <w:multiLevelType w:val="multilevel"/>
    <w:tmpl w:val="25C4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E7EF4"/>
    <w:multiLevelType w:val="multilevel"/>
    <w:tmpl w:val="7C18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EF"/>
    <w:rsid w:val="00242FEF"/>
    <w:rsid w:val="008B1C2B"/>
    <w:rsid w:val="00AC5C0C"/>
    <w:rsid w:val="00C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zminsk.org/r/tt/0001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minsk.org/e/23206.htm" TargetMode="External"/><Relationship Id="rId5" Type="http://schemas.openxmlformats.org/officeDocument/2006/relationships/hyperlink" Target="http://www.trizminsk.org/e/2312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2021-06-07T12:18:00Z</dcterms:created>
  <dcterms:modified xsi:type="dcterms:W3CDTF">2021-06-07T12:18:00Z</dcterms:modified>
</cp:coreProperties>
</file>