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73" w:rsidRDefault="00CD3102" w:rsidP="00946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02">
        <w:rPr>
          <w:rFonts w:ascii="Times New Roman" w:hAnsi="Times New Roman" w:cs="Times New Roman"/>
          <w:b/>
          <w:sz w:val="28"/>
          <w:szCs w:val="28"/>
        </w:rPr>
        <w:t>НЕТРАДИЦИОННЫЕ ФОРМЫ РАБОТЫ С РОДИТЕЛЯМИ</w:t>
      </w:r>
    </w:p>
    <w:p w:rsidR="00CD3102" w:rsidRPr="00CD3102" w:rsidRDefault="00CD3102" w:rsidP="00946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02">
        <w:rPr>
          <w:rFonts w:ascii="Times New Roman" w:hAnsi="Times New Roman" w:cs="Times New Roman"/>
          <w:b/>
          <w:sz w:val="28"/>
          <w:szCs w:val="28"/>
        </w:rPr>
        <w:t>В ДЕТСКОМ САДУ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это первое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учреждение, с которым вступают в контакт родители.</w:t>
      </w:r>
    </w:p>
    <w:p w:rsidR="00CD3102" w:rsidRPr="00CD3102" w:rsidRDefault="00CD3102" w:rsidP="00946A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Основным структурным элементом в детском саду является группа.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Воспитатель, как организатор и координатор деятельности в группе,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непосредственно взаимодействует как с детьми, так и с родителями. Стоит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отметить что, какой бы высокой ни была квалификация педагога, как бы глубоко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не продумывались содержание и формы образовательной деятельности с детьми,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положительный результат может быть достигнут только при рассмотрении семьи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 детского сада в рамках единого образовательного пространства,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подразумевающего взаимодействие, сотрудничество между педагогами и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родителями на всем протяжении дошкольного детства ребенка.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В современных условиях задачей модернизации взаимодействия семей и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детского сада является развитие диалогового партнерского взаимодействия в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системе «детский сад-семья», направленного на активное включение родителей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(законных представителей) в жизнь дошкольного учреждения.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Партнерское взаимодействие педагогов дошкольной образовательной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организации с родителями (законными представителями) воспитанников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взаимопомощь,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взаимоуважение и взаимодоверие,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- знание и учет педагогом условий семейного воспитания, а родителями </w:t>
      </w:r>
      <w:r w:rsidR="00946A73">
        <w:rPr>
          <w:rFonts w:ascii="Times New Roman" w:hAnsi="Times New Roman" w:cs="Times New Roman"/>
          <w:sz w:val="28"/>
          <w:szCs w:val="28"/>
        </w:rPr>
        <w:t>–</w:t>
      </w:r>
      <w:r w:rsidRPr="00CD310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воспитания в дошкольном образовательном учреждении,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обоюдное желание родителей и педагогов поддерживать контакты друг с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другом.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Условия успешной работы с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родителями: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изучение социального состава родителей,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уровня образования, социального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благополучия, выявление семей группа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риска;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дифференцированный подход к работе с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родителями с учетом многоаспектной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специфики каждой семьи;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целенаправленность, систематичность,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плановость;</w:t>
      </w:r>
    </w:p>
    <w:p w:rsidR="00CD3102" w:rsidRPr="00CD3102" w:rsidRDefault="00CD3102" w:rsidP="0084414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- доброжелательность и открытость.</w:t>
      </w:r>
    </w:p>
    <w:p w:rsidR="00CD3102" w:rsidRPr="00946A73" w:rsidRDefault="00CD3102" w:rsidP="00946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73">
        <w:rPr>
          <w:rFonts w:ascii="Times New Roman" w:hAnsi="Times New Roman" w:cs="Times New Roman"/>
          <w:b/>
          <w:sz w:val="28"/>
          <w:szCs w:val="28"/>
        </w:rPr>
        <w:t>Формы взаимодействия с семьей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Среди традиционных форм взаимодействия детского сада и семьи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выделяют: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1. </w:t>
      </w:r>
      <w:r w:rsidRPr="00946A73">
        <w:rPr>
          <w:rFonts w:ascii="Times New Roman" w:hAnsi="Times New Roman" w:cs="Times New Roman"/>
          <w:i/>
          <w:sz w:val="28"/>
          <w:szCs w:val="28"/>
        </w:rPr>
        <w:t>Знакомство с семьей:</w:t>
      </w:r>
      <w:r w:rsidRPr="00CD3102">
        <w:rPr>
          <w:rFonts w:ascii="Times New Roman" w:hAnsi="Times New Roman" w:cs="Times New Roman"/>
          <w:sz w:val="28"/>
          <w:szCs w:val="28"/>
        </w:rPr>
        <w:t xml:space="preserve"> встречи-знакомства, анкетирование семей.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2. </w:t>
      </w:r>
      <w:r w:rsidRPr="00946A73">
        <w:rPr>
          <w:rFonts w:ascii="Times New Roman" w:hAnsi="Times New Roman" w:cs="Times New Roman"/>
          <w:i/>
          <w:sz w:val="28"/>
          <w:szCs w:val="28"/>
        </w:rPr>
        <w:t>Информирование родителей о ходе образовательного процесса:</w:t>
      </w:r>
      <w:r w:rsidRPr="00CD3102">
        <w:rPr>
          <w:rFonts w:ascii="Times New Roman" w:hAnsi="Times New Roman" w:cs="Times New Roman"/>
          <w:sz w:val="28"/>
          <w:szCs w:val="28"/>
        </w:rPr>
        <w:t xml:space="preserve"> дни открытых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дверей, индивидуальные и групповые консультации, родительские собрания,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оформление визуального ряда посредством создания и размещения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информационных стендов, альбомов, папок организация выставок детского творчества, приглашение родителей на детские концерты и праздники, создание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памяток.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3. </w:t>
      </w:r>
      <w:r w:rsidRPr="00946A73">
        <w:rPr>
          <w:rFonts w:ascii="Times New Roman" w:hAnsi="Times New Roman" w:cs="Times New Roman"/>
          <w:i/>
          <w:sz w:val="28"/>
          <w:szCs w:val="28"/>
        </w:rPr>
        <w:t>Образование родителей:</w:t>
      </w:r>
      <w:r w:rsidRPr="00CD3102">
        <w:rPr>
          <w:rFonts w:ascii="Times New Roman" w:hAnsi="Times New Roman" w:cs="Times New Roman"/>
          <w:sz w:val="28"/>
          <w:szCs w:val="28"/>
        </w:rPr>
        <w:t xml:space="preserve"> проведение родительских собраний, всеобучей,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лекций, семинаров, семинаров-практикумов.</w:t>
      </w:r>
    </w:p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4. </w:t>
      </w:r>
      <w:r w:rsidRPr="00946A73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  <w:r w:rsidRPr="00CD3102">
        <w:rPr>
          <w:rFonts w:ascii="Times New Roman" w:hAnsi="Times New Roman" w:cs="Times New Roman"/>
          <w:sz w:val="28"/>
          <w:szCs w:val="28"/>
        </w:rPr>
        <w:t xml:space="preserve"> привлечение родителей к организации конкурсов,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концертов, к участию в детской исследовательской и проектной деятельности.</w:t>
      </w:r>
    </w:p>
    <w:p w:rsidR="00844140" w:rsidRPr="00CD3102" w:rsidRDefault="00CD3102" w:rsidP="00721C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lastRenderedPageBreak/>
        <w:t>Остановимся более подробно на нетрадиционных формах взаимодействия с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родителями воспитанников, которые являются наиболее актуальными. Среди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нетрадиционных форм работы с родителями можно выделить следующие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подгруппы: </w:t>
      </w:r>
      <w:r w:rsidRPr="00946A73">
        <w:rPr>
          <w:rFonts w:ascii="Times New Roman" w:hAnsi="Times New Roman" w:cs="Times New Roman"/>
          <w:i/>
          <w:sz w:val="28"/>
          <w:szCs w:val="28"/>
        </w:rPr>
        <w:t>познавательные, информационно-аналитические, досуговые,</w:t>
      </w:r>
      <w:r w:rsidR="00946A73" w:rsidRPr="00946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A73">
        <w:rPr>
          <w:rFonts w:ascii="Times New Roman" w:hAnsi="Times New Roman" w:cs="Times New Roman"/>
          <w:i/>
          <w:sz w:val="28"/>
          <w:szCs w:val="28"/>
        </w:rPr>
        <w:t>наглядно-информационные</w:t>
      </w:r>
      <w:r w:rsidR="00844140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259"/>
        <w:gridCol w:w="4788"/>
      </w:tblGrid>
      <w:tr w:rsidR="00844140" w:rsidTr="00721C75">
        <w:trPr>
          <w:trHeight w:val="659"/>
        </w:trPr>
        <w:tc>
          <w:tcPr>
            <w:tcW w:w="2405" w:type="dxa"/>
            <w:vAlign w:val="center"/>
          </w:tcPr>
          <w:p w:rsidR="00844140" w:rsidRPr="00721C75" w:rsidRDefault="00844140" w:rsidP="0072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844140" w:rsidRPr="00721C75" w:rsidRDefault="00844140" w:rsidP="0072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Цель использования</w:t>
            </w:r>
          </w:p>
        </w:tc>
        <w:tc>
          <w:tcPr>
            <w:tcW w:w="4791" w:type="dxa"/>
            <w:vAlign w:val="center"/>
          </w:tcPr>
          <w:p w:rsidR="00844140" w:rsidRPr="00721C75" w:rsidRDefault="00844140" w:rsidP="0072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844140" w:rsidTr="00844140">
        <w:tc>
          <w:tcPr>
            <w:tcW w:w="2405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4140" w:rsidRPr="00CD3102" w:rsidRDefault="00844140" w:rsidP="0072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Выявление интересов,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потребностей, запросов</w:t>
            </w:r>
          </w:p>
          <w:p w:rsidR="00844140" w:rsidRPr="00CD3102" w:rsidRDefault="00844140" w:rsidP="0072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родителей, уровня их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Проведение социологических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Анкеты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Индивидуальные беседы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Картотеки «Педагогическая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копилка: родители для педагогов»,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«Педагогическая копилка: педагоги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для родителей» (с целью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взаимообогащения педагогического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мастерства)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Переписка по электронной почте</w:t>
            </w:r>
          </w:p>
        </w:tc>
      </w:tr>
      <w:tr w:rsidR="00844140" w:rsidTr="00844140">
        <w:tc>
          <w:tcPr>
            <w:tcW w:w="2405" w:type="dxa"/>
          </w:tcPr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260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родителей с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возрастными и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психологическими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особенностями детей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практических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навыков воспитания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791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Семинары-практикумы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Проведение собраний,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консультаций в нетрадиционной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Мини-собрания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Педагогическая гостиная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Устные педагогические журналы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Исследовательская, проектная</w:t>
            </w:r>
            <w:r w:rsidR="0072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Интернет-журнал</w:t>
            </w:r>
          </w:p>
        </w:tc>
      </w:tr>
      <w:tr w:rsidR="00844140" w:rsidTr="00844140">
        <w:tc>
          <w:tcPr>
            <w:tcW w:w="2405" w:type="dxa"/>
          </w:tcPr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</w:p>
        </w:tc>
        <w:tc>
          <w:tcPr>
            <w:tcW w:w="3260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между педагогами,</w:t>
            </w:r>
            <w:r w:rsidRPr="0084414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родителями, детьми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Совместные досуги, праздники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Интерактивные досуговые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Выставки работ родителей и детей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Семинары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Мастер-классы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Дни добрых дел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Турниры знатоков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КВН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140" w:rsidTr="00844140">
        <w:tc>
          <w:tcPr>
            <w:tcW w:w="2405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ознакомительные;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просветительские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родителей с работой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воспитания детей.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родителей знаний о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воспитании и развитии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⁻ Буклеты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Электронные газеты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Дни (недели) открытых дверей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Открытые просмотры занятий 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других видов деятельности детей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Выпуск стенгазет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⁻ Использование видеозаписей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наблюдений за ребёнком в процессе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его деятельности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⁻ Взаимообмен фотографиями,</w:t>
            </w:r>
          </w:p>
          <w:p w:rsidR="00844140" w:rsidRPr="00CD3102" w:rsidRDefault="00844140" w:rsidP="0084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видеозаписями о жизни ребёнка в</w:t>
            </w:r>
          </w:p>
          <w:p w:rsidR="00844140" w:rsidRDefault="00844140" w:rsidP="009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02">
              <w:rPr>
                <w:rFonts w:ascii="Times New Roman" w:hAnsi="Times New Roman" w:cs="Times New Roman"/>
                <w:sz w:val="28"/>
                <w:szCs w:val="28"/>
              </w:rPr>
              <w:t>семье и в детском саду</w:t>
            </w:r>
          </w:p>
        </w:tc>
      </w:tr>
    </w:tbl>
    <w:p w:rsidR="00CD3102" w:rsidRPr="00CD3102" w:rsidRDefault="00CD3102" w:rsidP="0094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102" w:rsidRPr="00844140" w:rsidRDefault="00844140" w:rsidP="008441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40">
        <w:rPr>
          <w:rFonts w:ascii="Times New Roman" w:hAnsi="Times New Roman" w:cs="Times New Roman"/>
          <w:b/>
          <w:sz w:val="28"/>
          <w:szCs w:val="28"/>
        </w:rPr>
        <w:t>Ф</w:t>
      </w:r>
      <w:r w:rsidR="00CD3102" w:rsidRPr="00844140">
        <w:rPr>
          <w:rFonts w:ascii="Times New Roman" w:hAnsi="Times New Roman" w:cs="Times New Roman"/>
          <w:b/>
          <w:sz w:val="28"/>
          <w:szCs w:val="28"/>
        </w:rPr>
        <w:t>ормы проведения нетрадиционных</w:t>
      </w:r>
      <w:r w:rsidRPr="0084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102" w:rsidRPr="00844140">
        <w:rPr>
          <w:rFonts w:ascii="Times New Roman" w:hAnsi="Times New Roman" w:cs="Times New Roman"/>
          <w:b/>
          <w:sz w:val="28"/>
          <w:szCs w:val="28"/>
        </w:rPr>
        <w:t>род</w:t>
      </w:r>
      <w:r w:rsidRPr="00844140">
        <w:rPr>
          <w:rFonts w:ascii="Times New Roman" w:hAnsi="Times New Roman" w:cs="Times New Roman"/>
          <w:b/>
          <w:sz w:val="28"/>
          <w:szCs w:val="28"/>
        </w:rPr>
        <w:t>ительских встреч в детском саду</w:t>
      </w:r>
    </w:p>
    <w:p w:rsidR="00CD3102" w:rsidRPr="00844140" w:rsidRDefault="00CD3102" w:rsidP="00844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140">
        <w:rPr>
          <w:rFonts w:ascii="Times New Roman" w:hAnsi="Times New Roman" w:cs="Times New Roman"/>
          <w:b/>
          <w:sz w:val="28"/>
          <w:szCs w:val="28"/>
          <w:u w:val="single"/>
        </w:rPr>
        <w:t>«Педагогическая гостиная»</w:t>
      </w:r>
    </w:p>
    <w:p w:rsidR="00CD3102" w:rsidRPr="00CD3102" w:rsidRDefault="00CD3102" w:rsidP="00721C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Рекомендуется проводить в начале или в конце года. На таких встречах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обсуждается участие родителей в различных мероприятиях. Проводится анкета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«Родитель–ребенок–детский сад». Проходит обсуждение либо намеченных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мероприятий, либо анализируются прошедшие и подводятся итоги. В начале года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анкетирование проводится для того, что воспитатель ближе узнал ребенка, его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особенности. Родителей знакомят с мероприятиями, запланированными на год,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слушают предложения родителей, какую помощь и поддержку они могут оказать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в запланированных мероприятиях, а </w:t>
      </w:r>
      <w:proofErr w:type="gramStart"/>
      <w:r w:rsidRPr="00CD310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D3102">
        <w:rPr>
          <w:rFonts w:ascii="Times New Roman" w:hAnsi="Times New Roman" w:cs="Times New Roman"/>
          <w:sz w:val="28"/>
          <w:szCs w:val="28"/>
        </w:rPr>
        <w:t xml:space="preserve"> их пожелания и предложения на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учебный год. В конце года на таких встречах подводят итоги прошедшего года,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дают оценку и анализируют достижения и ошибки.</w:t>
      </w:r>
    </w:p>
    <w:p w:rsidR="00CD3102" w:rsidRPr="00721C75" w:rsidRDefault="00CD3102" w:rsidP="00721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C75">
        <w:rPr>
          <w:rFonts w:ascii="Times New Roman" w:hAnsi="Times New Roman" w:cs="Times New Roman"/>
          <w:b/>
          <w:sz w:val="28"/>
          <w:szCs w:val="28"/>
          <w:u w:val="single"/>
        </w:rPr>
        <w:t>«Педагогическая конференция»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При подготовке мероприятия поводится подготовительный этап, где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 дается какое-либо задание по определенной теме. Подготовленное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задание обсуждается с различных позиций. 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За две недели до встречи родителям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раздаются материалы на определенную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тему, воспитатель просит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прокомментировать то или иное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высказывание, освещает суть темы 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задает вопросы при обсуждении.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Например, встреча во второй младшей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группе может быть посвящена теме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«Кризис 3-х лет».</w:t>
      </w:r>
    </w:p>
    <w:p w:rsidR="00CD3102" w:rsidRPr="00CD3102" w:rsidRDefault="00CD3102" w:rsidP="00721C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Родителям предлагается прокомментировать несколько высказываний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классиков: как они понимают это высказывание, затем родители и педагоги дают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свои советы по проблеме, как они ее решают. Наиболее удачные советы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оформляются в картотеки или альбомы «Педагогическая копилка: родители для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педагогов», «Педагогическая копилка: педагоги для родителей»</w:t>
      </w:r>
    </w:p>
    <w:p w:rsidR="00CD3102" w:rsidRPr="00721C75" w:rsidRDefault="00CD3102" w:rsidP="00721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C75">
        <w:rPr>
          <w:rFonts w:ascii="Times New Roman" w:hAnsi="Times New Roman" w:cs="Times New Roman"/>
          <w:b/>
          <w:sz w:val="28"/>
          <w:szCs w:val="28"/>
          <w:u w:val="single"/>
        </w:rPr>
        <w:t>«Педагогическая конференция - аукцион»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Подготовка такой встречи проводится так же, как и при проведении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педагогической конференции, отличием является то, что обмен опытом проходит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 виде «продажи» полезных советов по выбранной теме в игровой форме.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Например, воспитатель дает понятие «кризиса трех лет», совместно с родителями</w:t>
      </w:r>
    </w:p>
    <w:p w:rsidR="00CD3102" w:rsidRPr="00CD3102" w:rsidRDefault="00CD3102" w:rsidP="00721C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он анализирует, как остро протекает этот период у детей. Затем предлагает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поделиться родителям опытом, как они преодолевали данный период, или как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они сейчас с ним справляются. Все происходит в виде игры и за каждый совет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даются фишки, (т.е. советы продаются за фишки). Советы, набравшие большее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количество фишек, также оформляются в картотеки или альбомы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«Педагогическая копилка: родители для педагогов», «Педагогическая копилка: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педагоги для родителей»</w:t>
      </w:r>
    </w:p>
    <w:p w:rsidR="00CD3102" w:rsidRPr="00721C75" w:rsidRDefault="00CD3102" w:rsidP="00721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1C75">
        <w:rPr>
          <w:rFonts w:ascii="Times New Roman" w:hAnsi="Times New Roman" w:cs="Times New Roman"/>
          <w:b/>
          <w:sz w:val="28"/>
          <w:szCs w:val="28"/>
          <w:u w:val="single"/>
        </w:rPr>
        <w:t>«Семинар-практикум»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lastRenderedPageBreak/>
        <w:t>На такой встрече могут выступать не только воспитатели, но и родители,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логопед, психолог и другие специалисты. Совместно с родителями происходит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обыгрывание или решение проблемных ситуаций, могут присутствовать элементы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тренинга.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Заранее определяется тема встречи и ведущий, им может быть, как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воспитатель, так и родители или приглашенные специалисты. Например, если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встреча посвящена теме детских страхов, то в качестве ведущего такой встречи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будет выступать педагог-психолог. Подготавливается небольшое теоретическое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сообщение, затем родителей просят высказать свое мнение о причинах детских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страхов и о способах их преодоления, могут обыгрываться небольшие ситуации. </w:t>
      </w:r>
    </w:p>
    <w:p w:rsidR="00CD3102" w:rsidRPr="00CD3102" w:rsidRDefault="00CD3102" w:rsidP="00721C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Далее с родителями проводятся мини-тренинг по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1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D3102">
        <w:rPr>
          <w:rFonts w:ascii="Times New Roman" w:hAnsi="Times New Roman" w:cs="Times New Roman"/>
          <w:sz w:val="28"/>
          <w:szCs w:val="28"/>
        </w:rPr>
        <w:t>, демонстрируются игровые приемы на снятие тревожности 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страхов </w:t>
      </w:r>
      <w:proofErr w:type="gramStart"/>
      <w:r w:rsidRPr="00CD3102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CD3102">
        <w:rPr>
          <w:rFonts w:ascii="Times New Roman" w:hAnsi="Times New Roman" w:cs="Times New Roman"/>
          <w:sz w:val="28"/>
          <w:szCs w:val="28"/>
        </w:rPr>
        <w:t xml:space="preserve"> родители при возникновении трудностей могли помочь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своим детям.</w:t>
      </w:r>
    </w:p>
    <w:p w:rsidR="00CD3102" w:rsidRPr="00721C75" w:rsidRDefault="00CD3102" w:rsidP="00721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C75">
        <w:rPr>
          <w:rFonts w:ascii="Times New Roman" w:hAnsi="Times New Roman" w:cs="Times New Roman"/>
          <w:b/>
          <w:sz w:val="28"/>
          <w:szCs w:val="28"/>
          <w:u w:val="single"/>
        </w:rPr>
        <w:t>«Душевный разговор»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Такая встреча может быть рассчитана не на всех родителей, а лишь на тех,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чьи дети имеют общие проблемы (например, в общении со сверстниками,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агрессивность и др.). Можно провести анкетирование по теме, обыгрывание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ситуаций, демонстрацию коротких видеофильмов или видеофрагментов.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Особенность такой встречи в том, что в конце общения родителям не дают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конкретных рекомендаций, а они сами к ним приходят.</w:t>
      </w:r>
    </w:p>
    <w:p w:rsidR="00CD3102" w:rsidRPr="00CD3102" w:rsidRDefault="00CD3102" w:rsidP="00721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Например, тема встречи «Ваш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ребенок – левша». С родителями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проводится анкетирование, чтобы глубже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узнать особенность их детей, и установить</w:t>
      </w:r>
      <w:r w:rsidR="00721C75">
        <w:rPr>
          <w:rFonts w:ascii="Times New Roman" w:hAnsi="Times New Roman" w:cs="Times New Roman"/>
          <w:sz w:val="28"/>
          <w:szCs w:val="28"/>
        </w:rPr>
        <w:t xml:space="preserve"> какая степень </w:t>
      </w:r>
      <w:r w:rsidRPr="00CD3102">
        <w:rPr>
          <w:rFonts w:ascii="Times New Roman" w:hAnsi="Times New Roman" w:cs="Times New Roman"/>
          <w:sz w:val="28"/>
          <w:szCs w:val="28"/>
        </w:rPr>
        <w:t>леворукости у ребенка -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слабая или выраженная. Проблема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обсуждается со всех сторон, могут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приглашаться специалисты.</w:t>
      </w:r>
    </w:p>
    <w:p w:rsidR="00CD3102" w:rsidRPr="00CD3102" w:rsidRDefault="00CD3102" w:rsidP="00721C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 xml:space="preserve">Родителям предлагаются различные задания для </w:t>
      </w:r>
      <w:proofErr w:type="spellStart"/>
      <w:r w:rsidRPr="00CD3102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CD3102">
        <w:rPr>
          <w:rFonts w:ascii="Times New Roman" w:hAnsi="Times New Roman" w:cs="Times New Roman"/>
          <w:sz w:val="28"/>
          <w:szCs w:val="28"/>
        </w:rPr>
        <w:t xml:space="preserve"> детей, для того,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чтобы развить моторику обеих рук. Обсуждаются психологические проблемы,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связанные с леворукостью. В конце такой встречи, необходимо продумать в какой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форме будет происходить рефлексия (получение обратной связи): это может быть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анкетирование, обмен мнениями и впечатлениями от встречи и т.д.</w:t>
      </w:r>
    </w:p>
    <w:p w:rsidR="00CD3102" w:rsidRPr="003A4400" w:rsidRDefault="00CD3102" w:rsidP="003A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«Мастер-класс»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Встреча, подготовленная в форме мастер-класса, предполагает, что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воспитатели, родители или приглашенные специалисты детского сада могут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провести маленький урок, т.е. поделиться опытом по воспитанию и развитию</w:t>
      </w:r>
      <w:r w:rsidR="00721C75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детей, продемонстрируют свои достижения в той или иной области.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Предварительно воспитатель определяет тему встречи, учитывая запросы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родителей. Затем можно дать тему нескольким родителям, которые смогут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объяснить или продемонстрировать на практике, как научить ребенка убирать за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собой игрушки, умываться и т.д. В конце встречи подводиться итог.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 такой встрече участники дают друг другу практические советы,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показывают ролевую сценку, демонстрируют практические навыки (например,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воспитатель может показать родителям, как изготовить дидактическое пособие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своими руками, как играть в ту или иную игру) и т.д. </w:t>
      </w:r>
    </w:p>
    <w:p w:rsidR="00CD3102" w:rsidRPr="003A4400" w:rsidRDefault="00CD3102" w:rsidP="003A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«Ток-шоу»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lastRenderedPageBreak/>
        <w:t xml:space="preserve">Встреча, организованная </w:t>
      </w:r>
      <w:proofErr w:type="gramStart"/>
      <w:r w:rsidRPr="00CD3102">
        <w:rPr>
          <w:rFonts w:ascii="Times New Roman" w:hAnsi="Times New Roman" w:cs="Times New Roman"/>
          <w:sz w:val="28"/>
          <w:szCs w:val="28"/>
        </w:rPr>
        <w:t>в такой форме</w:t>
      </w:r>
      <w:proofErr w:type="gramEnd"/>
      <w:r w:rsidRPr="00CD3102">
        <w:rPr>
          <w:rFonts w:ascii="Times New Roman" w:hAnsi="Times New Roman" w:cs="Times New Roman"/>
          <w:sz w:val="28"/>
          <w:szCs w:val="28"/>
        </w:rPr>
        <w:t xml:space="preserve"> подразумевает обсуждение одной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проблемы с различных точек зрения, детализацией проблемы и возможных путей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ее решения.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 «Ток-шоу» могут выступать родители,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воспитатели, можно пригласить специалистов.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Например, тема встречи «Домашние питомцы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– плюсы и минусы», участники встречи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произвольно делятся на две подгруппы, одна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из которых отстаивает мнение о том, что если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 доме есть домашние питомцы, то это –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хорошо, а другая – мнение что, если в доме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есть домашние питомцы, то это – плохо.</w:t>
      </w:r>
    </w:p>
    <w:p w:rsidR="00CD3102" w:rsidRPr="00CD3102" w:rsidRDefault="00CD3102" w:rsidP="003A440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Родителям предлагаются различные ситуации, их нужно рассмотреть с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разных точек зрения, обязательно аргументируя их. Все позиции совместно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обсуждаются. В конце встречи участникам каждой команды предлагается перейти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 другую команду, если они изменили свою точку зрения, или остаться в своей</w:t>
      </w:r>
      <w:r w:rsidR="003A4400">
        <w:rPr>
          <w:rFonts w:ascii="Times New Roman" w:hAnsi="Times New Roman" w:cs="Times New Roman"/>
          <w:sz w:val="28"/>
          <w:szCs w:val="28"/>
        </w:rPr>
        <w:t xml:space="preserve"> команде. Также можно </w:t>
      </w:r>
      <w:r w:rsidRPr="00CD3102">
        <w:rPr>
          <w:rFonts w:ascii="Times New Roman" w:hAnsi="Times New Roman" w:cs="Times New Roman"/>
          <w:sz w:val="28"/>
          <w:szCs w:val="28"/>
        </w:rPr>
        <w:t>провести голосование с целью определения, какая же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точка зрения победила.</w:t>
      </w:r>
    </w:p>
    <w:p w:rsidR="00CD3102" w:rsidRPr="003A4400" w:rsidRDefault="00CD3102" w:rsidP="003A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«Тренинг»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Активной формой работы с родителями, которые хотят изменить свое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взаимодействие с собственным ребенком, является родительский тренинг. В нем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должны участвовать оба родителя. Для результативности тренинг должен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включать в себя 5-8 занятий. Как правило, он проводится психологом, который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дает возможность родителям на время ощутить себя ребенком, пережить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эмоционально еще раз детские впечатления. </w:t>
      </w:r>
      <w:proofErr w:type="spellStart"/>
      <w:r w:rsidRPr="00CD310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D3102">
        <w:rPr>
          <w:rFonts w:ascii="Times New Roman" w:hAnsi="Times New Roman" w:cs="Times New Roman"/>
          <w:sz w:val="28"/>
          <w:szCs w:val="28"/>
        </w:rPr>
        <w:t xml:space="preserve"> задания могут быть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такими: «Детские гримасы», «Любимая игрушка», «Мой сказочный образ»,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«Воспоминания детства» и др.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Также родительские тренинги могут готовиться в виде ответов на вопросы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 педагогическим проблемам. На один вопрос отвечают две семьи, у которых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могут быть разные мнения. Эксперты определяют, какая семья в ответах на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вопрос была наиболее близка к истине.</w:t>
      </w:r>
    </w:p>
    <w:p w:rsidR="00CD3102" w:rsidRPr="003A4400" w:rsidRDefault="00CD3102" w:rsidP="003A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«Игровое моделирование»</w:t>
      </w:r>
    </w:p>
    <w:p w:rsidR="00CD3102" w:rsidRPr="00CD3102" w:rsidRDefault="00CD3102" w:rsidP="003A440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Эта форма заключается в ролевом проигрывании проблемных ситуаций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семейного воспитания, игровом взаимодействии родителей и детей в различной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детской деятельности, моделировании способов родительского поведения, обмене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опытом семейного воспитания и др. Положительной стороной подобных форм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является то, что они способствуют установлению неформальных контактов </w:t>
      </w:r>
      <w:proofErr w:type="gramStart"/>
      <w:r w:rsidRPr="00CD3102">
        <w:rPr>
          <w:rFonts w:ascii="Times New Roman" w:hAnsi="Times New Roman" w:cs="Times New Roman"/>
          <w:sz w:val="28"/>
          <w:szCs w:val="28"/>
        </w:rPr>
        <w:t xml:space="preserve">с 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CD3102">
        <w:rPr>
          <w:rFonts w:ascii="Times New Roman" w:hAnsi="Times New Roman" w:cs="Times New Roman"/>
          <w:sz w:val="28"/>
          <w:szCs w:val="28"/>
        </w:rPr>
        <w:t>, исключают навязывание готовой точки зрения, нацеливают на поиск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собственного выхода из сложившейся ситуации.</w:t>
      </w:r>
    </w:p>
    <w:p w:rsidR="00CD3102" w:rsidRPr="00844140" w:rsidRDefault="00CD3102" w:rsidP="00844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40">
        <w:rPr>
          <w:rFonts w:ascii="Times New Roman" w:hAnsi="Times New Roman" w:cs="Times New Roman"/>
          <w:b/>
          <w:sz w:val="28"/>
          <w:szCs w:val="28"/>
        </w:rPr>
        <w:t>Методы активизации родителей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На родительских встречах нетрадиционной формы можно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использовать следующие методы активизации родителей.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«Мозговой штурм»</w:t>
      </w:r>
      <w:r w:rsidRPr="00CD3102">
        <w:rPr>
          <w:rFonts w:ascii="Times New Roman" w:hAnsi="Times New Roman" w:cs="Times New Roman"/>
          <w:sz w:val="28"/>
          <w:szCs w:val="28"/>
        </w:rPr>
        <w:t xml:space="preserve"> - это метод коллективной мыслительной деятельности,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позволяющий достичь понимания друг друга, когда общая проблема является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личной для целой группы.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Реверсионная</w:t>
      </w:r>
      <w:proofErr w:type="spellEnd"/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мозговая атака, или Разнос»</w:t>
      </w:r>
      <w:r w:rsidRPr="00CD3102">
        <w:rPr>
          <w:rFonts w:ascii="Times New Roman" w:hAnsi="Times New Roman" w:cs="Times New Roman"/>
          <w:sz w:val="28"/>
          <w:szCs w:val="28"/>
        </w:rPr>
        <w:t xml:space="preserve"> - этот метод отличается от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«мозгового штурма» тем, что вместо отсрочки оценочных действий предлагается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проявить максимальную критичность, указывая на все недочеты и слабые места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lastRenderedPageBreak/>
        <w:t>процесса, системы, идеи. Этим обеспечивается подготовка идеи, направленной на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преодоление недостатков.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«Список прилагательных и определений»</w:t>
      </w:r>
      <w:r w:rsidRPr="00CD3102">
        <w:rPr>
          <w:rFonts w:ascii="Times New Roman" w:hAnsi="Times New Roman" w:cs="Times New Roman"/>
          <w:sz w:val="28"/>
          <w:szCs w:val="28"/>
        </w:rPr>
        <w:t xml:space="preserve"> - такой список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прилагательных определяет различные качества, свойства и характеристики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объекта, деятельности или личности, которые необходимо улучшить.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Сначала предлагаются качества или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характеристики (прилагательные), затем они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рассматриваются каждое в отдельности и решается,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каким путем можно улучшить или усилить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соответствующую характеристику. Например,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«Каким бы вы хотели видеть вашего ребенка на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пороге школы?» Родители перечисляют качества, т.е.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прилагательные, а затем совместно достигается пути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реализации цели.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«Ассоциации»</w:t>
      </w:r>
      <w:r w:rsidRPr="00CD3102">
        <w:rPr>
          <w:rFonts w:ascii="Times New Roman" w:hAnsi="Times New Roman" w:cs="Times New Roman"/>
          <w:sz w:val="28"/>
          <w:szCs w:val="28"/>
        </w:rPr>
        <w:t xml:space="preserve"> - на листе бумаги рисуется символ, олицетворяющий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проблему или ее существенный момент (что мешает установлению доверия в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детском коллективе или педагог для нашей группы). Затем по ассоциации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изображают другой символ, пока не придет подходящая идея решения. Например,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встреча на тему «Агрессия». Рисуется ассоциация по теме, затем рисунок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исправляется или рисуется новый уже с решением проблемы.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«Коллективная запись»</w:t>
      </w:r>
      <w:r w:rsidRPr="00CD3102">
        <w:rPr>
          <w:rFonts w:ascii="Times New Roman" w:hAnsi="Times New Roman" w:cs="Times New Roman"/>
          <w:sz w:val="28"/>
          <w:szCs w:val="28"/>
        </w:rPr>
        <w:t xml:space="preserve"> - каждый из участников получает записную</w:t>
      </w:r>
      <w:r w:rsidR="003A4400">
        <w:rPr>
          <w:rFonts w:ascii="Times New Roman" w:hAnsi="Times New Roman" w:cs="Times New Roman"/>
          <w:sz w:val="28"/>
          <w:szCs w:val="28"/>
        </w:rPr>
        <w:t xml:space="preserve"> книжку или лист </w:t>
      </w:r>
      <w:r w:rsidRPr="00CD3102">
        <w:rPr>
          <w:rFonts w:ascii="Times New Roman" w:hAnsi="Times New Roman" w:cs="Times New Roman"/>
          <w:sz w:val="28"/>
          <w:szCs w:val="28"/>
        </w:rPr>
        <w:t>бумаги, где сформулирована проблема и даются информация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или рекомендации, необходимые для ее решения. Родители независимо друг от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друга, определяют наиболее важные для них рекомендации, заносят в записную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 xml:space="preserve">книжку. Затем записи передаются педагогу, он суммирует </w:t>
      </w:r>
      <w:proofErr w:type="gramStart"/>
      <w:r w:rsidRPr="00CD310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D3102">
        <w:rPr>
          <w:rFonts w:ascii="Times New Roman" w:hAnsi="Times New Roman" w:cs="Times New Roman"/>
          <w:sz w:val="28"/>
          <w:szCs w:val="28"/>
        </w:rPr>
        <w:t xml:space="preserve"> и группа проводит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обсуждение. После этого приема можно использовать «мозговой штурм».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Например, тема «Как любить своего ребенка» родители заносят запись наиболее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важных моменты по их мнению. Педагог их суммирует и проводит обсуждение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написанного.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«Запись на листах».</w:t>
      </w:r>
      <w:r w:rsidRPr="00CD3102">
        <w:rPr>
          <w:rFonts w:ascii="Times New Roman" w:hAnsi="Times New Roman" w:cs="Times New Roman"/>
          <w:sz w:val="28"/>
          <w:szCs w:val="28"/>
        </w:rPr>
        <w:t xml:space="preserve"> При обсуждении проблемы каждый из родителей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получает листы бумаги для заметок. Педагог формулирует проблему и просит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всех предлагать возможные решения. Каждое предложение записывается на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отдельном листе. Проблему нужно формулировать четко. Например, «Как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успокоить ребенка, если он расстроен?», каждый родитель пишет свой вариант,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затем все мнения обсуждаются. При этом вводится запрет на критику.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b/>
          <w:sz w:val="28"/>
          <w:szCs w:val="28"/>
          <w:u w:val="single"/>
        </w:rPr>
        <w:t>«Эвристические вопросы»</w:t>
      </w:r>
      <w:r w:rsidR="003A4400">
        <w:rPr>
          <w:rFonts w:ascii="Times New Roman" w:hAnsi="Times New Roman" w:cs="Times New Roman"/>
          <w:sz w:val="28"/>
          <w:szCs w:val="28"/>
        </w:rPr>
        <w:t>.</w:t>
      </w:r>
      <w:r w:rsidRPr="00CD3102">
        <w:rPr>
          <w:rFonts w:ascii="Times New Roman" w:hAnsi="Times New Roman" w:cs="Times New Roman"/>
          <w:sz w:val="28"/>
          <w:szCs w:val="28"/>
        </w:rPr>
        <w:t xml:space="preserve"> К ним относятся 7 ключевых вопросов: кто,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что, где, чем, как, когда?</w:t>
      </w:r>
    </w:p>
    <w:p w:rsidR="00CD3102" w:rsidRPr="00CD3102" w:rsidRDefault="00CD3102" w:rsidP="003A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02">
        <w:rPr>
          <w:rFonts w:ascii="Times New Roman" w:hAnsi="Times New Roman" w:cs="Times New Roman"/>
          <w:sz w:val="28"/>
          <w:szCs w:val="28"/>
        </w:rPr>
        <w:t>Этот метод подходит для сбора достаточно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полной информации о каком-либо событии.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Можно также объединять эти вопросы между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собой, чтобы получить новый, интересный взгляд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на проблему. Например, 1 и 4 в сочетании кто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чем? Последовательно вытягивая такие смешные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 нестандартные вопросы и отвечая на них,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родители могут увидеть и нестандартные пути их</w:t>
      </w:r>
      <w:r w:rsidR="003A440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решения.</w:t>
      </w:r>
    </w:p>
    <w:p w:rsidR="00CD3102" w:rsidRPr="00CD3102" w:rsidRDefault="00CD3102" w:rsidP="00844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40">
        <w:rPr>
          <w:rFonts w:ascii="Times New Roman" w:hAnsi="Times New Roman" w:cs="Times New Roman"/>
          <w:b/>
          <w:sz w:val="28"/>
          <w:szCs w:val="28"/>
          <w:u w:val="single"/>
        </w:rPr>
        <w:t>«Мини-эксперимент».</w:t>
      </w:r>
      <w:r w:rsidRPr="00CD3102">
        <w:rPr>
          <w:rFonts w:ascii="Times New Roman" w:hAnsi="Times New Roman" w:cs="Times New Roman"/>
          <w:sz w:val="28"/>
          <w:szCs w:val="28"/>
        </w:rPr>
        <w:t xml:space="preserve"> Этот метод позволяет включить родителей в</w:t>
      </w:r>
      <w:r w:rsidR="0084414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исследовательскую деятельность, создать познавательный конфликт и</w:t>
      </w:r>
      <w:r w:rsidR="00844140">
        <w:rPr>
          <w:rFonts w:ascii="Times New Roman" w:hAnsi="Times New Roman" w:cs="Times New Roman"/>
          <w:sz w:val="28"/>
          <w:szCs w:val="28"/>
        </w:rPr>
        <w:t xml:space="preserve"> использовать интеллектуальные </w:t>
      </w:r>
      <w:r w:rsidRPr="00CD3102">
        <w:rPr>
          <w:rFonts w:ascii="Times New Roman" w:hAnsi="Times New Roman" w:cs="Times New Roman"/>
          <w:sz w:val="28"/>
          <w:szCs w:val="28"/>
        </w:rPr>
        <w:t>чувства родителей (интерес, любопытство). Тема</w:t>
      </w:r>
      <w:r w:rsidR="0084414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может быть любой, подводятся итоги взаимосвязи реального, желаемого и</w:t>
      </w:r>
      <w:r w:rsidR="00844140">
        <w:rPr>
          <w:rFonts w:ascii="Times New Roman" w:hAnsi="Times New Roman" w:cs="Times New Roman"/>
          <w:sz w:val="28"/>
          <w:szCs w:val="28"/>
        </w:rPr>
        <w:t xml:space="preserve"> </w:t>
      </w:r>
      <w:r w:rsidRPr="00CD3102">
        <w:rPr>
          <w:rFonts w:ascii="Times New Roman" w:hAnsi="Times New Roman" w:cs="Times New Roman"/>
          <w:sz w:val="28"/>
          <w:szCs w:val="28"/>
        </w:rPr>
        <w:t>достижимого.</w:t>
      </w:r>
    </w:p>
    <w:p w:rsidR="00D835C4" w:rsidRPr="003A4400" w:rsidRDefault="00CD3102" w:rsidP="0084414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 помнить, что какую бы форму работы вы не выбрали, партнерское</w:t>
      </w:r>
      <w:r w:rsidR="00844140"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родителей и детского сада редко возникает сразу. Это</w:t>
      </w:r>
      <w:r w:rsidR="00844140"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длительный процесс, долгий и кропотливый труд, требующий терпеливого</w:t>
      </w:r>
      <w:r w:rsidR="00844140"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неуклонного следования к цели. Главное - не останавливаться на достигнутом,</w:t>
      </w:r>
      <w:r w:rsidR="00844140"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4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продолжать искать новые пути сотрудничества.</w:t>
      </w:r>
    </w:p>
    <w:p w:rsidR="00CD3102" w:rsidRPr="00CD3102" w:rsidRDefault="00CD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3102" w:rsidRPr="00CD3102" w:rsidSect="00CD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2"/>
    <w:rsid w:val="003A4400"/>
    <w:rsid w:val="00721C75"/>
    <w:rsid w:val="00844140"/>
    <w:rsid w:val="00946A73"/>
    <w:rsid w:val="00BF3CBB"/>
    <w:rsid w:val="00CD3102"/>
    <w:rsid w:val="00D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329"/>
  <w15:chartTrackingRefBased/>
  <w15:docId w15:val="{012DD66E-36C7-4FF6-AA4F-DEDDBA6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2019-04-01T17:07:00Z</dcterms:created>
  <dcterms:modified xsi:type="dcterms:W3CDTF">2019-04-02T20:01:00Z</dcterms:modified>
</cp:coreProperties>
</file>